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15519" w14:textId="32a15519">
      <w:pPr>
        <w15:collapsed w:val="false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8. Jan 2016 - Name of guideline</w:t>
      </w:r>
    </w:p>
    <w:p>
      <w:pPr>
        <w:rPr>
          <w:rFonts w:ascii="PT Serif" w:hAnsi="PT Serif"/>
          <w:b/>
          <w:sz w:val="18"/>
          <w:szCs w:val="18"/>
        </w:rPr>
      </w:pPr>
      <w:r>
        <w:rPr>
          <w:rFonts w:ascii="PT Serif" w:hAnsi="PT Serif"/>
          <w:b/>
          <w:sz w:val="18"/>
          <w:szCs w:val="18"/>
        </w:rPr>
        <w:t>PICO (2.1)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Population: Some Population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Intervention: Some intervention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Comparator: Some comparator</w:t>
      </w:r>
    </w:p>
    <w:tbl>
      <w:tblPr>
        <w:tblStyle w:val="Tabellrutenett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lastRow="0" w:firstColumn="1" w:lastColumn="0" w:noHBand="0" w:noVBand="1" w:val="04A0"/>
      </w:tblPr>
      <w:tblGrid>
        <w:gridCol w:w="1531"/>
        <w:gridCol w:w="1985"/>
        <w:gridCol w:w="1332"/>
        <w:gridCol w:w="1333"/>
        <w:gridCol w:w="2552"/>
        <w:gridCol w:w="1842"/>
      </w:tblGrid>
      <w:tr w14:paraId="5550F01D" w14:textId="77777777">
        <w:trPr>
          <w:trHeight w:val="340"/>
        </w:trPr>
        <w:tc>
          <w:tcPr>
            <w:tcW w:w="1531" w:type="dxa"/>
            <w:vMerge w:val="restart"/>
            <w:vAlign w:val="center"/>
          </w:tcPr>
          <w:p w14:paraId="213895DE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Outcome</w:t>
            </w:r>
          </w:p>
          <w:p w14:paraId="12DA323A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Timeframe</w:t>
            </w:r>
          </w:p>
        </w:tc>
        <w:tc>
          <w:tcPr>
            <w:tcW w:w="1985" w:type="dxa"/>
            <w:vMerge w:val="restart"/>
            <w:vAlign w:val="center"/>
          </w:tcPr>
          <w:p w14:paraId="57C5A6F9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Study results and measurements</w:t>
            </w:r>
          </w:p>
        </w:tc>
        <w:tc>
          <w:tcPr>
            <w:tcW w:w="2665" w:type="dxa"/>
            <w:gridSpan w:val="2"/>
            <w:tcBorders>
              <w:bottom w:val="nil"/>
            </w:tcBorders>
            <w:vAlign w:val="center"/>
          </w:tcPr>
          <w:p w14:paraId="54A3785F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Absolute effect estimates</w:t>
            </w:r>
          </w:p>
        </w:tc>
        <w:tc>
          <w:tcPr>
            <w:tcW w:w="2552" w:type="dxa"/>
            <w:vMerge w:val="restart"/>
            <w:vAlign w:val="center"/>
          </w:tcPr>
          <w:p w14:paraId="1E4DAD27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Certainty in effect estimates</w:t>
            </w:r>
          </w:p>
          <w:p w14:paraId="24F88670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(Quality of evidence)</w:t>
            </w:r>
          </w:p>
        </w:tc>
        <w:tc>
          <w:tcPr>
            <w:tcW w:w="1842" w:type="dxa"/>
            <w:vMerge w:val="restart"/>
            <w:vAlign w:val="center"/>
          </w:tcPr>
          <w:p w14:paraId="6D4A4549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Summary</w:t>
            </w:r>
          </w:p>
        </w:tc>
      </w:tr>
      <w:tr w14:paraId="6F39ABA6" w14:textId="77777777">
        <w:trPr>
          <w:trHeight w:val="340"/>
        </w:trPr>
        <w:tc>
          <w:tcPr>
            <w:tcW w:w="1531" w:type="dxa"/>
            <w:vMerge/>
            <w:vAlign w:val="center"/>
          </w:tcPr>
          <w:p w14:paraId="1D186646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color="auto" w:sz="4" w:space="0"/>
            </w:tcBorders>
            <w:vAlign w:val="center"/>
          </w:tcPr>
          <w:p w14:paraId="4C1847D2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A882C90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 xml:space="preserve">Comparator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5227205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Intervention</w:t>
            </w:r>
          </w:p>
        </w:tc>
        <w:tc>
          <w:tcPr>
            <w:tcW w:w="2552" w:type="dxa"/>
            <w:vMerge/>
            <w:tcBorders>
              <w:left w:val="single" w:color="auto" w:sz="4" w:space="0"/>
            </w:tcBorders>
            <w:vAlign w:val="center"/>
          </w:tcPr>
          <w:p w14:paraId="057CFE44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331F04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</w:tr>
      <w:tr w14:paraId="15C1C01D" w14:textId="77777777">
        <w:trPr>
          <w:trHeight w:val="520"/>
        </w:trPr>
        <w:tc>
          <w:tcPr>
            <w:tcW w:w="1531" w:type="dxa"/>
            <w:vMerge w:val="restart"/>
            <w:vAlign w:val="center"/>
          </w:tcPr>
          <w:p w14:paraId="127AFF49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DVT</w:t>
            </w:r>
          </w:p>
          <w:p w14:paraId="13A0504A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Merge w:val="restart"/>
            <w:tcBorders>
              <w:right w:val="single" w:color="auto" w:sz="4" w:space="0"/>
            </w:tcBorders>
            <w:vAlign w:val="center"/>
          </w:tcPr>
          <w:p w14:paraId="0834E647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Relative risk: 0.44</w:t>
            </w:r>
          </w:p>
          <w:p w14:paraId="7072D887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(CI 95% 0.32 - 0.65)</w:t>
            </w:r>
          </w:p>
          <w:p w14:paraId="00E9AFBA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6"/>
                <w:szCs w:val="16"/>
              </w:rPr>
              <w:t>Based on data from</w:t>
            </w:r>
            <w:r>
              <w:rPr>
                <w:rFonts w:ascii="PT Serif" w:hAnsi="PT Serif"/>
                <w:sz w:val="18"/>
                <w:szCs w:val="18"/>
              </w:rPr>
              <w:t xml:space="preserve"> </w:t>
            </w:r>
            <w:r>
              <w:rPr>
                <w:rFonts w:ascii="PT Serif" w:hAnsi="PT Serif"/>
                <w:sz w:val="16"/>
                <w:szCs w:val="16"/>
              </w:rPr>
              <w:t>12.698 patients in 22 studies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14:paraId="20072FA4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200</w:t>
            </w:r>
          </w:p>
          <w:p w14:paraId="4EBB5B7A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per 1000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04B145CE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300</w:t>
            </w:r>
          </w:p>
          <w:p w14:paraId="1FCFAFFA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per 1000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  <w:vAlign w:val="center"/>
          </w:tcPr>
          <w:p w14:paraId="7D9ECFE0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5099BE35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Merge w:val="restart"/>
            <w:vAlign w:val="center"/>
          </w:tcPr>
          <w:p w14:paraId="3522DE95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  <w:tr w14:paraId="74061820" w14:textId="77777777">
        <w:trPr>
          <w:trHeight w:val="520"/>
        </w:trPr>
        <w:tc>
          <w:tcPr>
            <w:tcW w:w="1531" w:type="dxa"/>
            <w:vMerge/>
            <w:vAlign w:val="center"/>
          </w:tcPr>
          <w:p w14:paraId="44F3E509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BA67591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14:paraId="1BF919B7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Difference</w:t>
            </w:r>
            <w:r>
              <w:rPr>
                <w:rFonts w:ascii="PT Serif" w:hAnsi="PT Serif"/>
                <w:sz w:val="18"/>
                <w:szCs w:val="18"/>
              </w:rPr>
              <w:t xml:space="preserve">: 25 fewer </w:t>
            </w:r>
            <w:r>
              <w:rPr>
                <w:rFonts w:ascii="PT Serif" w:hAnsi="PT Serif"/>
                <w:sz w:val="16"/>
                <w:szCs w:val="16"/>
              </w:rPr>
              <w:t>per 1000</w:t>
            </w:r>
          </w:p>
          <w:p w14:paraId="3E5C3362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6"/>
                <w:szCs w:val="16"/>
              </w:rPr>
              <w:t>(CI 95% 31 fewer - 22 fewer)</w:t>
            </w:r>
          </w:p>
        </w:tc>
        <w:tc>
          <w:tcPr>
            <w:tcW w:w="2552" w:type="dxa"/>
            <w:vMerge/>
            <w:vAlign w:val="center"/>
          </w:tcPr>
          <w:p w14:paraId="722C0F64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F575289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  <w:tr w14:paraId="09453919" w14:textId="77777777">
        <w:trPr>
          <w:trHeight w:val="520"/>
        </w:trPr>
        <w:tc>
          <w:tcPr>
            <w:tcW w:w="1531" w:type="dxa"/>
            <w:vMerge w:val="restart"/>
            <w:vAlign w:val="center"/>
          </w:tcPr>
          <w:p w14:paraId="28D872F8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DVT</w:t>
            </w:r>
          </w:p>
          <w:p w14:paraId="12BF6AF0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Merge w:val="restart"/>
            <w:tcBorders>
              <w:right w:val="single" w:color="auto" w:sz="4" w:space="0"/>
            </w:tcBorders>
            <w:vAlign w:val="center"/>
          </w:tcPr>
          <w:p w14:paraId="547640AB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Measured by</w:t>
            </w:r>
            <w:r>
              <w:rPr>
                <w:rFonts w:ascii="PT Serif" w:hAnsi="PT Serif"/>
                <w:sz w:val="16"/>
                <w:szCs w:val="16"/>
              </w:rPr>
              <w:t xml:space="preserve">: </w:t>
            </w:r>
            <w:r>
              <w:rPr>
                <w:rFonts w:ascii="PT Serif" w:hAnsi="PT Serif"/>
                <w:sz w:val="16"/>
                <w:szCs w:val="16"/>
              </w:rPr>
              <w:t>VAS</w:t>
            </w:r>
          </w:p>
          <w:p w14:paraId="579BC4E6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Scale: 1-10 Lower better</w:t>
            </w:r>
          </w:p>
          <w:p w14:paraId="0DDD9129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Based on data from 12.698 patients in 22 studies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14:paraId="08169110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0.34</w:t>
            </w:r>
          </w:p>
          <w:p w14:paraId="64C7CB02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(mean)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5FC3EE68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0.87</w:t>
            </w:r>
          </w:p>
          <w:p w14:paraId="7A9DEE15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(mean)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  <w:vAlign w:val="center"/>
          </w:tcPr>
          <w:p w14:paraId="17C3A7D3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4809F76F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Merge w:val="restart"/>
            <w:vAlign w:val="center"/>
          </w:tcPr>
          <w:p w14:paraId="4166367D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  <w:tr w14:paraId="3634D1A9" w14:textId="77777777">
        <w:trPr>
          <w:trHeight w:val="520"/>
        </w:trPr>
        <w:tc>
          <w:tcPr>
            <w:tcW w:w="1531" w:type="dxa"/>
            <w:vMerge/>
            <w:vAlign w:val="center"/>
          </w:tcPr>
          <w:p w14:paraId="3FAC25D6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A344D98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  <w:vAlign w:val="center"/>
          </w:tcPr>
          <w:p w14:paraId="5391ABAA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Difference</w:t>
            </w:r>
            <w:r>
              <w:rPr>
                <w:rFonts w:ascii="PT Serif" w:hAnsi="PT Serif"/>
                <w:sz w:val="18"/>
                <w:szCs w:val="18"/>
              </w:rPr>
              <w:t>: MD 0.2</w:t>
            </w:r>
            <w:r>
              <w:rPr>
                <w:rFonts w:ascii="PT Serif" w:hAnsi="PT Serif"/>
                <w:sz w:val="18"/>
                <w:szCs w:val="18"/>
              </w:rPr>
              <w:t xml:space="preserve">5 </w:t>
            </w:r>
            <w:r>
              <w:rPr>
                <w:rFonts w:ascii="PT Serif" w:hAnsi="PT Serif"/>
                <w:sz w:val="18"/>
                <w:szCs w:val="18"/>
              </w:rPr>
              <w:t>lower</w:t>
            </w:r>
          </w:p>
          <w:p w14:paraId="167384BB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6"/>
                <w:szCs w:val="16"/>
              </w:rPr>
              <w:t xml:space="preserve">(CI 95% 31 </w:t>
            </w:r>
            <w:r>
              <w:rPr>
                <w:rFonts w:ascii="PT Serif" w:hAnsi="PT Serif"/>
                <w:sz w:val="16"/>
                <w:szCs w:val="16"/>
              </w:rPr>
              <w:t>lower</w:t>
            </w:r>
            <w:r>
              <w:rPr>
                <w:rFonts w:ascii="PT Serif" w:hAnsi="PT Serif"/>
                <w:sz w:val="16"/>
                <w:szCs w:val="16"/>
              </w:rPr>
              <w:t xml:space="preserve"> - 22 </w:t>
            </w:r>
            <w:r>
              <w:rPr>
                <w:rFonts w:ascii="PT Serif" w:hAnsi="PT Serif"/>
                <w:sz w:val="16"/>
                <w:szCs w:val="16"/>
              </w:rPr>
              <w:t>lower</w:t>
            </w:r>
            <w:r>
              <w:rPr>
                <w:rFonts w:ascii="PT Serif" w:hAnsi="PT Serif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14:paraId="68B7C9F4" w14:textId="7777777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DCB958A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  <w:tr w14:paraId="1C76E717" w14:textId="77777777">
        <w:tc>
          <w:tcPr>
            <w:tcW w:w="1531" w:type="dxa"/>
            <w:vAlign w:val="center"/>
          </w:tcPr>
          <w:p w14:paraId="235C040F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DVT</w:t>
            </w:r>
          </w:p>
          <w:p w14:paraId="1C1467C0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Align w:val="center"/>
          </w:tcPr>
          <w:p w14:paraId="55DD0259" w14:textId="7777777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Based on data from 12.698 patients in 22 studies</w:t>
            </w:r>
          </w:p>
        </w:tc>
        <w:tc>
          <w:tcPr>
            <w:tcW w:w="2665" w:type="dxa"/>
            <w:gridSpan w:val="2"/>
            <w:vAlign w:val="center"/>
          </w:tcPr>
          <w:p w14:paraId="1AAFE2C1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text</w:t>
            </w:r>
          </w:p>
        </w:tc>
        <w:tc>
          <w:tcPr>
            <w:tcW w:w="2552" w:type="dxa"/>
            <w:vAlign w:val="center"/>
          </w:tcPr>
          <w:p w14:paraId="689AD875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176EF23F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Align w:val="center"/>
          </w:tcPr>
          <w:p w14:paraId="16502A63" w14:textId="7777777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</w:tbl>
    <w:p>
      <w:pPr>
        <w:rPr>
          <w:rFonts w:ascii="PT Serif" w:hAnsi="PT Serif"/>
          <w:b/>
          <w:sz w:val="18"/>
          <w:szCs w:val="18"/>
        </w:rPr>
      </w:pPr>
      <w:r>
        <w:rPr>
          <w:rFonts w:ascii="PT Serif" w:hAnsi="PT Serif"/>
          <w:b/>
          <w:sz w:val="18"/>
          <w:szCs w:val="18"/>
        </w:rPr>
        <w:t>PICO (Summary)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[1] Authors1. Title1. The citation details1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[2] Authors2. Title2. The citation details2</w:t>
      </w:r>
    </w:p>
    <w:p>
      <w:pPr>
        <w:rPr>
          <w:rFonts w:ascii="PT Serif" w:hAnsi="PT Serif"/>
          <w:b/>
          <w:sz w:val="18"/>
          <w:szCs w:val="18"/>
        </w:rPr>
      </w:pPr>
      <w:r>
        <w:rPr>
          <w:rFonts w:ascii="PT Serif" w:hAnsi="PT Serif"/>
          <w:b/>
          <w:sz w:val="18"/>
          <w:szCs w:val="18"/>
        </w:rPr>
        <w:t>PICO (References)</w:t>
      </w:r>
    </w:p>
    <w:p w14:textId="77777777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The summary text</w:t>
      </w:r>
    </w:p>
    <w:sectPr>
      <w:pgSz w:w="11900" w:h="16840"/>
      <w:pgMar w:top="1417" w:right="680" w:bottom="1417" w:left="680" w:header="708" w:footer="708" w:gutter="0"/>
      <w:cols w:space="708"/>
      <w:docGrid w:linePitch="360"/>
    </w:sectPr>
  </w:body>
</w:document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7"/>
    <w:rsid w:val="000D28AC"/>
    <w:rsid w:val="000E1E37"/>
    <w:rsid w:val="0021724C"/>
    <w:rsid w:val="0026569E"/>
    <w:rsid w:val="00817F49"/>
    <w:rsid w:val="008842D9"/>
    <w:rsid w:val="009049DC"/>
    <w:rsid w:val="00A55A64"/>
    <w:rsid w:val="00D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3CE7B"/>
  <w14:defaultImageDpi w14:val="30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basedOn w:val="DocDefaults"/>
    <w:qFormat/>
    <w:rPr>
      <w:lang w:val="en-US"/>
    </w:rPr>
  </w:style>
  <w:style w:type="character" w:styleId="Standardskriftforavsnitt" w:default="true">
    <w:name w:val="Default Paragraph Font"/>
    <w:uiPriority w:val="1"/>
    <w:semiHidden/>
    <w:unhideWhenUsed/>
  </w:style>
  <w:style w:type="table" w:styleId="Vanligtabel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tru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1E3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Defaults">
    <w:name w:val="DocDefaults"/>
    <w:pPr>
      <w:spacing w:before="0" w:after="0" w:line="240"/>
    </w:pPr>
    <w:rPr>
      <w:rFonts w:asciiTheme="minorHAnsi" w:hAnsiTheme="minorHAnsi" w:eastAsiaTheme="minorEastAsia" w:cstheme="minorBidi"/>
      <w:sz w:val="24"/>
      <w:szCs w:val="24"/>
      <w:lang w:val="nb-NO" w:eastAsia="nb-NO" w:bidi="ar-SA"/>
    </w:rPr>
  </w:style>
</w:style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1"/>
    <Relationship Target="styles.xml" Type="http://schemas.openxmlformats.org/officeDocument/2006/relationships/styles" Id="rId2"/>
</Relationships>

</file>

<file path=docProps/core.xml><?xml version="1.0" encoding="utf-8"?>
<cp:coreProperties xmlns:cp="http://schemas.openxmlformats.org/package/2006/metadata/core-properties" xmlns:dcterms="http://purl.org/dc/terms/" xmlns:dc="http://purl.org/dc/elements/1.1/">
  <dc:title>TEST PICO</dc:title>
</cp:coreProperties>
</file>