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60" w:rsidRPr="001E347D" w:rsidRDefault="00475760" w:rsidP="00475760">
      <w:pPr>
        <w:adjustRightInd w:val="0"/>
        <w:spacing w:line="560" w:lineRule="atLeast"/>
        <w:jc w:val="center"/>
        <w:rPr>
          <w:rFonts w:ascii="宋体" w:hAnsi="宋体" w:hint="eastAsia"/>
          <w:bCs/>
          <w:color w:val="0D0D0D"/>
          <w:sz w:val="32"/>
          <w:szCs w:val="32"/>
        </w:rPr>
      </w:pPr>
    </w:p>
    <w:p w:rsidR="00475760" w:rsidRPr="001E347D" w:rsidRDefault="00475760" w:rsidP="00475760">
      <w:pPr>
        <w:adjustRightInd w:val="0"/>
        <w:spacing w:line="880" w:lineRule="exact"/>
        <w:jc w:val="center"/>
        <w:rPr>
          <w:rFonts w:ascii="宋体" w:hAnsi="宋体"/>
          <w:bCs/>
          <w:color w:val="0D0D0D"/>
          <w:sz w:val="66"/>
          <w:szCs w:val="66"/>
        </w:rPr>
      </w:pPr>
      <w:r w:rsidRPr="001E347D">
        <w:rPr>
          <w:rFonts w:ascii="宋体" w:hAnsi="宋体" w:hint="eastAsia"/>
          <w:bCs/>
          <w:color w:val="0D0D0D"/>
          <w:sz w:val="66"/>
          <w:szCs w:val="66"/>
        </w:rPr>
        <w:t>汇率风险分析报告</w:t>
      </w:r>
    </w:p>
    <w:p w:rsidR="00475760" w:rsidRPr="001E347D" w:rsidRDefault="00475760" w:rsidP="00475760">
      <w:pPr>
        <w:ind w:left="296" w:rightChars="-41" w:right="-84" w:hangingChars="100" w:hanging="296"/>
        <w:jc w:val="center"/>
        <w:rPr>
          <w:rFonts w:ascii="宋体" w:hAnsi="宋体"/>
          <w:color w:val="0D0D0D"/>
          <w:sz w:val="30"/>
          <w:szCs w:val="30"/>
          <w:u w:val="thick" w:color="000000"/>
        </w:rPr>
      </w:pPr>
    </w:p>
    <w:p w:rsidR="00475760" w:rsidRPr="001E347D" w:rsidRDefault="00475760" w:rsidP="00475760">
      <w:pPr>
        <w:ind w:left="316" w:rightChars="-41" w:right="-84" w:hangingChars="100" w:hanging="316"/>
        <w:jc w:val="center"/>
        <w:rPr>
          <w:rFonts w:ascii="宋体" w:hAnsi="宋体"/>
          <w:color w:val="0D0D0D"/>
          <w:sz w:val="32"/>
          <w:szCs w:val="32"/>
        </w:rPr>
      </w:pPr>
    </w:p>
    <w:p w:rsidR="00475760" w:rsidRPr="001E347D" w:rsidRDefault="00ED43A0" w:rsidP="00475760">
      <w:pPr>
        <w:ind w:rightChars="100" w:right="206"/>
        <w:rPr>
          <w:rFonts w:ascii="宋体" w:hAnsi="宋体"/>
          <w:color w:val="0D0D0D"/>
          <w:sz w:val="30"/>
          <w:szCs w:val="30"/>
        </w:rPr>
      </w:pPr>
      <w:r>
        <w:rPr>
          <w:rFonts w:ascii="宋体" w:hAnsi="宋体"/>
          <w:noProof/>
          <w:color w:val="0D0D0D"/>
          <w:sz w:val="30"/>
          <w:szCs w:val="30"/>
        </w:rPr>
        <w:pict>
          <v:line id="_x0000_s1027" style="position:absolute;left:0;text-align:left;z-index:251660288;mso-position-vertical-relative:margin" from="0,157.55pt" to="442.2pt,157.55pt" strokeweight="2.25pt">
            <w10:wrap anchory="margin"/>
          </v:line>
        </w:pict>
      </w:r>
      <w:r w:rsidR="00475760" w:rsidRPr="001E347D">
        <w:rPr>
          <w:rFonts w:ascii="宋体" w:hAnsi="宋体" w:hint="eastAsia"/>
          <w:color w:val="0D0D0D"/>
          <w:sz w:val="30"/>
          <w:szCs w:val="30"/>
        </w:rPr>
        <w:t>财务资产部</w:t>
      </w:r>
      <w:r w:rsidR="004609B1">
        <w:rPr>
          <w:rFonts w:ascii="宋体" w:hAnsi="宋体" w:hint="eastAsia"/>
          <w:color w:val="0D0D0D"/>
          <w:sz w:val="30"/>
          <w:szCs w:val="30"/>
        </w:rPr>
        <w:t xml:space="preserve">                               </w:t>
      </w:r>
      <w:r w:rsidR="00475760" w:rsidRPr="001E347D">
        <w:rPr>
          <w:rFonts w:ascii="宋体" w:hAnsi="宋体" w:hint="eastAsia"/>
          <w:color w:val="0D0D0D"/>
          <w:sz w:val="30"/>
          <w:szCs w:val="30"/>
        </w:rPr>
        <w:t>2011</w:t>
      </w:r>
      <w:r w:rsidR="00475760" w:rsidRPr="001E347D">
        <w:rPr>
          <w:rFonts w:ascii="宋体" w:hAnsi="宋体"/>
          <w:color w:val="0D0D0D"/>
          <w:sz w:val="30"/>
          <w:szCs w:val="30"/>
        </w:rPr>
        <w:t>年</w:t>
      </w:r>
      <w:r w:rsidR="00475760" w:rsidRPr="001E347D">
        <w:rPr>
          <w:rFonts w:ascii="宋体" w:hAnsi="宋体" w:hint="eastAsia"/>
          <w:color w:val="0D0D0D"/>
          <w:sz w:val="30"/>
          <w:szCs w:val="30"/>
        </w:rPr>
        <w:t>04</w:t>
      </w:r>
      <w:r w:rsidR="00475760" w:rsidRPr="001E347D">
        <w:rPr>
          <w:rFonts w:ascii="宋体" w:hAnsi="宋体"/>
          <w:color w:val="0D0D0D"/>
          <w:sz w:val="30"/>
          <w:szCs w:val="30"/>
        </w:rPr>
        <w:t>月</w:t>
      </w:r>
      <w:r w:rsidR="00475760" w:rsidRPr="001E347D">
        <w:rPr>
          <w:rFonts w:ascii="宋体" w:hAnsi="宋体" w:hint="eastAsia"/>
          <w:color w:val="0D0D0D"/>
          <w:sz w:val="30"/>
          <w:szCs w:val="30"/>
        </w:rPr>
        <w:t>28</w:t>
      </w:r>
      <w:r w:rsidR="00475760" w:rsidRPr="001E347D">
        <w:rPr>
          <w:rFonts w:ascii="宋体" w:hAnsi="宋体"/>
          <w:color w:val="0D0D0D"/>
          <w:sz w:val="30"/>
          <w:szCs w:val="30"/>
        </w:rPr>
        <w:t>日</w:t>
      </w:r>
    </w:p>
    <w:p w:rsidR="00475760" w:rsidRPr="001E347D" w:rsidRDefault="00475760" w:rsidP="00475760">
      <w:pPr>
        <w:spacing w:line="500" w:lineRule="exact"/>
        <w:ind w:firstLineChars="200" w:firstLine="552"/>
        <w:rPr>
          <w:rFonts w:ascii="宋体" w:hAnsi="宋体"/>
          <w:sz w:val="28"/>
          <w:szCs w:val="28"/>
        </w:rPr>
      </w:pPr>
    </w:p>
    <w:p w:rsidR="00475760" w:rsidRPr="001E347D" w:rsidRDefault="00475760" w:rsidP="00475760">
      <w:pPr>
        <w:spacing w:line="500" w:lineRule="exact"/>
        <w:ind w:firstLineChars="200" w:firstLine="552"/>
        <w:rPr>
          <w:rFonts w:ascii="宋体" w:hAnsi="宋体"/>
          <w:sz w:val="28"/>
          <w:szCs w:val="28"/>
        </w:rPr>
      </w:pPr>
      <w:r w:rsidRPr="001E347D">
        <w:rPr>
          <w:rFonts w:ascii="宋体" w:hAnsi="宋体" w:hint="eastAsia"/>
          <w:sz w:val="28"/>
          <w:szCs w:val="28"/>
        </w:rPr>
        <w:t>2010年12月，我们对集团公司未来3个月、6个月、9个月、12个月面临的汇率风险进行了测算和分析，现将有关情况报告如下：</w:t>
      </w:r>
    </w:p>
    <w:p w:rsidR="00475760" w:rsidRPr="001E347D" w:rsidRDefault="00475760" w:rsidP="00475760">
      <w:pPr>
        <w:spacing w:line="500" w:lineRule="exact"/>
        <w:ind w:firstLineChars="200" w:firstLine="552"/>
        <w:rPr>
          <w:rFonts w:ascii="宋体" w:hAnsi="宋体"/>
          <w:sz w:val="28"/>
          <w:szCs w:val="28"/>
        </w:rPr>
      </w:pPr>
      <w:r w:rsidRPr="001E347D">
        <w:rPr>
          <w:rFonts w:ascii="宋体" w:hAnsi="宋体" w:hint="eastAsia"/>
          <w:sz w:val="28"/>
          <w:szCs w:val="28"/>
        </w:rPr>
        <w:t>一、集团公司汇率风险敞口</w:t>
      </w:r>
      <w:r w:rsidRPr="001E347D">
        <w:rPr>
          <w:rFonts w:ascii="宋体" w:hAnsi="宋体" w:hint="eastAsia"/>
          <w:sz w:val="28"/>
          <w:szCs w:val="28"/>
          <w:vertAlign w:val="superscript"/>
        </w:rPr>
        <w:footnoteReference w:id="2"/>
      </w:r>
      <w:r w:rsidRPr="001E347D">
        <w:rPr>
          <w:rFonts w:ascii="宋体" w:hAnsi="宋体" w:hint="eastAsia"/>
          <w:sz w:val="28"/>
          <w:szCs w:val="28"/>
        </w:rPr>
        <w:t>及汇率风险价值</w:t>
      </w:r>
      <w:r w:rsidRPr="001E347D">
        <w:rPr>
          <w:rFonts w:ascii="宋体" w:hAnsi="宋体" w:hint="eastAsia"/>
          <w:sz w:val="28"/>
          <w:szCs w:val="28"/>
          <w:vertAlign w:val="superscript"/>
        </w:rPr>
        <w:footnoteReference w:id="3"/>
      </w:r>
      <w:r w:rsidRPr="001E347D">
        <w:rPr>
          <w:rFonts w:ascii="宋体" w:hAnsi="宋体" w:hint="eastAsia"/>
          <w:sz w:val="28"/>
          <w:szCs w:val="28"/>
        </w:rPr>
        <w:t>分析</w:t>
      </w:r>
    </w:p>
    <w:p w:rsidR="00475760" w:rsidRPr="001E347D" w:rsidRDefault="00475760" w:rsidP="00475760">
      <w:pPr>
        <w:ind w:firstLineChars="200" w:firstLine="552"/>
        <w:rPr>
          <w:rFonts w:ascii="宋体" w:hAnsi="宋体"/>
          <w:sz w:val="28"/>
          <w:szCs w:val="28"/>
        </w:rPr>
      </w:pPr>
      <w:r w:rsidRPr="001E347D">
        <w:rPr>
          <w:rFonts w:ascii="宋体" w:hAnsi="宋体"/>
          <w:noProof/>
          <w:sz w:val="28"/>
          <w:szCs w:val="28"/>
        </w:rPr>
        <w:drawing>
          <wp:anchor distT="0" distB="0" distL="114300" distR="114300" simplePos="0" relativeHeight="251661312" behindDoc="0" locked="0" layoutInCell="1" allowOverlap="1">
            <wp:simplePos x="0" y="0"/>
            <wp:positionH relativeFrom="column">
              <wp:posOffset>372745</wp:posOffset>
            </wp:positionH>
            <wp:positionV relativeFrom="paragraph">
              <wp:posOffset>35560</wp:posOffset>
            </wp:positionV>
            <wp:extent cx="3952875" cy="2037080"/>
            <wp:effectExtent l="19050" t="0" r="9525" b="0"/>
            <wp:wrapThrough wrapText="bothSides">
              <wp:wrapPolygon edited="0">
                <wp:start x="-104" y="0"/>
                <wp:lineTo x="-104" y="21411"/>
                <wp:lineTo x="21652" y="21411"/>
                <wp:lineTo x="21652" y="0"/>
                <wp:lineTo x="-104" y="0"/>
              </wp:wrapPolygon>
            </wp:wrapThrough>
            <wp:docPr id="3" name="图片 2" descr="[[cha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hart5]]"/>
                    <pic:cNvPicPr>
                      <a:picLocks noChangeAspect="1" noChangeArrowheads="1"/>
                    </pic:cNvPicPr>
                  </pic:nvPicPr>
                  <pic:blipFill>
                    <a:blip r:embed="rId6"/>
                    <a:srcRect/>
                    <a:stretch>
                      <a:fillRect/>
                    </a:stretch>
                  </pic:blipFill>
                  <pic:spPr bwMode="auto">
                    <a:xfrm>
                      <a:off x="0" y="0"/>
                      <a:ext cx="3952875" cy="2037080"/>
                    </a:xfrm>
                    <a:prstGeom prst="rect">
                      <a:avLst/>
                    </a:prstGeom>
                    <a:noFill/>
                    <a:ln w="9525">
                      <a:noFill/>
                      <a:miter lim="800000"/>
                      <a:headEnd/>
                      <a:tailEnd/>
                    </a:ln>
                  </pic:spPr>
                </pic:pic>
              </a:graphicData>
            </a:graphic>
          </wp:anchor>
        </w:drawing>
      </w: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p>
    <w:p w:rsidR="00475760" w:rsidRPr="001E347D" w:rsidRDefault="00475760" w:rsidP="00475760">
      <w:pPr>
        <w:spacing w:line="400" w:lineRule="exact"/>
        <w:ind w:firstLineChars="200" w:firstLine="412"/>
        <w:jc w:val="center"/>
        <w:rPr>
          <w:rFonts w:ascii="宋体" w:hAnsi="宋体"/>
          <w:szCs w:val="21"/>
        </w:rPr>
      </w:pPr>
      <w:r w:rsidRPr="001E347D">
        <w:rPr>
          <w:rFonts w:ascii="宋体" w:hAnsi="宋体" w:hint="eastAsia"/>
          <w:szCs w:val="21"/>
        </w:rPr>
        <w:t>集团公司未来12个月汇率风险价值货币对分布</w:t>
      </w:r>
    </w:p>
    <w:p w:rsidR="00475760" w:rsidRPr="001E347D" w:rsidRDefault="00475760" w:rsidP="00475760">
      <w:pPr>
        <w:adjustRightInd w:val="0"/>
        <w:spacing w:line="500" w:lineRule="exact"/>
        <w:ind w:firstLineChars="200" w:firstLine="552"/>
        <w:rPr>
          <w:rFonts w:ascii="宋体" w:hAnsi="宋体"/>
          <w:sz w:val="28"/>
          <w:szCs w:val="28"/>
        </w:rPr>
      </w:pPr>
      <w:r w:rsidRPr="001E347D">
        <w:rPr>
          <w:rFonts w:ascii="宋体" w:hAnsi="宋体" w:hint="eastAsia"/>
          <w:sz w:val="28"/>
          <w:szCs w:val="28"/>
        </w:rPr>
        <w:t>经测算，基于95%的置信水平，集团公司未来3个月、6个月、9个月、12个月汇率风险价值</w:t>
      </w:r>
      <w:r w:rsidRPr="001E347D">
        <w:rPr>
          <w:rFonts w:ascii="宋体" w:hAnsi="宋体"/>
          <w:sz w:val="28"/>
          <w:szCs w:val="28"/>
        </w:rPr>
        <w:t>[[indicator0]]</w:t>
      </w:r>
      <w:r w:rsidRPr="001E347D">
        <w:rPr>
          <w:rFonts w:ascii="宋体" w:hAnsi="宋体" w:hint="eastAsia"/>
          <w:sz w:val="28"/>
          <w:szCs w:val="28"/>
        </w:rPr>
        <w:t>亿元、</w:t>
      </w:r>
      <w:r w:rsidRPr="001E347D">
        <w:rPr>
          <w:rFonts w:ascii="宋体" w:hAnsi="宋体"/>
          <w:sz w:val="28"/>
          <w:szCs w:val="28"/>
        </w:rPr>
        <w:t>[[indicator1]]</w:t>
      </w:r>
      <w:r w:rsidRPr="001E347D">
        <w:rPr>
          <w:rFonts w:ascii="宋体" w:hAnsi="宋体" w:hint="eastAsia"/>
          <w:sz w:val="28"/>
          <w:szCs w:val="28"/>
        </w:rPr>
        <w:t>亿元、</w:t>
      </w:r>
      <w:r w:rsidRPr="001E347D">
        <w:rPr>
          <w:rFonts w:ascii="宋体" w:hAnsi="宋体"/>
          <w:sz w:val="28"/>
          <w:szCs w:val="28"/>
        </w:rPr>
        <w:t>[[indicator2]]</w:t>
      </w:r>
      <w:r w:rsidRPr="001E347D">
        <w:rPr>
          <w:rFonts w:ascii="宋体" w:hAnsi="宋体" w:hint="eastAsia"/>
          <w:sz w:val="28"/>
          <w:szCs w:val="28"/>
        </w:rPr>
        <w:t>亿元、</w:t>
      </w:r>
      <w:r w:rsidRPr="001E347D">
        <w:rPr>
          <w:rFonts w:ascii="宋体" w:hAnsi="宋体"/>
          <w:sz w:val="28"/>
          <w:szCs w:val="28"/>
        </w:rPr>
        <w:t>[[indicator3]]</w:t>
      </w:r>
      <w:r w:rsidRPr="001E347D">
        <w:rPr>
          <w:rFonts w:ascii="宋体" w:hAnsi="宋体" w:hint="eastAsia"/>
          <w:sz w:val="28"/>
          <w:szCs w:val="28"/>
        </w:rPr>
        <w:t>亿元，分别占其对应汇率风险敞口价值</w:t>
      </w:r>
      <w:r w:rsidRPr="001E347D">
        <w:rPr>
          <w:rFonts w:ascii="宋体" w:hAnsi="宋体"/>
          <w:sz w:val="28"/>
          <w:szCs w:val="28"/>
        </w:rPr>
        <w:t>[[indicator4]]</w:t>
      </w:r>
      <w:r w:rsidRPr="001E347D">
        <w:rPr>
          <w:rFonts w:ascii="宋体" w:hAnsi="宋体" w:hint="eastAsia"/>
          <w:sz w:val="28"/>
          <w:szCs w:val="28"/>
        </w:rPr>
        <w:t>亿元、</w:t>
      </w:r>
      <w:r w:rsidRPr="001E347D">
        <w:rPr>
          <w:rFonts w:ascii="宋体" w:hAnsi="宋体"/>
          <w:sz w:val="28"/>
          <w:szCs w:val="28"/>
        </w:rPr>
        <w:t>[[indicator1]]</w:t>
      </w:r>
      <w:r w:rsidRPr="001E347D">
        <w:rPr>
          <w:rFonts w:ascii="宋体" w:hAnsi="宋体" w:hint="eastAsia"/>
          <w:sz w:val="28"/>
          <w:szCs w:val="28"/>
        </w:rPr>
        <w:t>亿元、</w:t>
      </w:r>
      <w:r w:rsidRPr="001E347D">
        <w:rPr>
          <w:rFonts w:ascii="宋体" w:hAnsi="宋体"/>
          <w:sz w:val="28"/>
          <w:szCs w:val="28"/>
        </w:rPr>
        <w:t>[[indicator2]]</w:t>
      </w:r>
      <w:r w:rsidRPr="001E347D">
        <w:rPr>
          <w:rFonts w:ascii="宋体" w:hAnsi="宋体" w:hint="eastAsia"/>
          <w:sz w:val="28"/>
          <w:szCs w:val="28"/>
        </w:rPr>
        <w:t>亿元、</w:t>
      </w:r>
      <w:r w:rsidRPr="001E347D">
        <w:rPr>
          <w:rFonts w:ascii="宋体" w:hAnsi="宋体"/>
          <w:sz w:val="28"/>
          <w:szCs w:val="28"/>
        </w:rPr>
        <w:lastRenderedPageBreak/>
        <w:t>[[indicator3]]</w:t>
      </w:r>
      <w:r w:rsidRPr="001E347D">
        <w:rPr>
          <w:rFonts w:ascii="宋体" w:hAnsi="宋体" w:hint="eastAsia"/>
          <w:sz w:val="28"/>
          <w:szCs w:val="28"/>
        </w:rPr>
        <w:t>亿元的2.27%、7.70%、4.53%、5.35%。上图反映了各货币对占集团公司汇率风险价值的比重，其中欧元/美元、美元/人民币、欧元/人民币、</w:t>
      </w:r>
      <w:proofErr w:type="gramStart"/>
      <w:r w:rsidRPr="001E347D">
        <w:rPr>
          <w:rFonts w:ascii="宋体" w:hAnsi="宋体" w:hint="eastAsia"/>
          <w:sz w:val="28"/>
          <w:szCs w:val="28"/>
        </w:rPr>
        <w:t>英镑/</w:t>
      </w:r>
      <w:proofErr w:type="gramEnd"/>
      <w:r w:rsidRPr="001E347D">
        <w:rPr>
          <w:rFonts w:ascii="宋体" w:hAnsi="宋体" w:hint="eastAsia"/>
          <w:sz w:val="28"/>
          <w:szCs w:val="28"/>
        </w:rPr>
        <w:t>美元等对集团公司汇率风险水平有较大影响。下图显示了汇率风险敞口的预期价值以及因汇率变化而导致的潜在价值变化。两条曲线的间距反映了集团公司在未来特定时点的潜在汇率风险。汇率风险价值的计</w:t>
      </w:r>
      <w:r w:rsidRPr="001E347D">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353695</wp:posOffset>
            </wp:positionH>
            <wp:positionV relativeFrom="paragraph">
              <wp:posOffset>1906270</wp:posOffset>
            </wp:positionV>
            <wp:extent cx="4533900" cy="2212975"/>
            <wp:effectExtent l="19050" t="0" r="0" b="0"/>
            <wp:wrapTopAndBottom/>
            <wp:docPr id="2" name="图片 3" descr="[[cha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hart6]]"/>
                    <pic:cNvPicPr>
                      <a:picLocks noChangeAspect="1" noChangeArrowheads="1"/>
                    </pic:cNvPicPr>
                  </pic:nvPicPr>
                  <pic:blipFill>
                    <a:blip r:embed="rId7"/>
                    <a:srcRect/>
                    <a:stretch>
                      <a:fillRect/>
                    </a:stretch>
                  </pic:blipFill>
                  <pic:spPr bwMode="auto">
                    <a:xfrm>
                      <a:off x="0" y="0"/>
                      <a:ext cx="4533900" cy="2212975"/>
                    </a:xfrm>
                    <a:prstGeom prst="rect">
                      <a:avLst/>
                    </a:prstGeom>
                    <a:noFill/>
                    <a:ln w="9525">
                      <a:noFill/>
                      <a:miter lim="800000"/>
                      <a:headEnd/>
                      <a:tailEnd/>
                    </a:ln>
                  </pic:spPr>
                </pic:pic>
              </a:graphicData>
            </a:graphic>
          </wp:anchor>
        </w:drawing>
      </w:r>
      <w:r w:rsidRPr="001E347D">
        <w:rPr>
          <w:rFonts w:ascii="宋体" w:hAnsi="宋体" w:hint="eastAsia"/>
          <w:sz w:val="28"/>
          <w:szCs w:val="28"/>
        </w:rPr>
        <w:t>算基于对汇率波动以及主要货币对相关性的分析。</w:t>
      </w:r>
    </w:p>
    <w:p w:rsidR="00475760" w:rsidRPr="001E347D" w:rsidRDefault="00475760" w:rsidP="00475760">
      <w:pPr>
        <w:adjustRightInd w:val="0"/>
        <w:spacing w:line="500" w:lineRule="exact"/>
        <w:jc w:val="center"/>
        <w:rPr>
          <w:rFonts w:ascii="宋体" w:hAnsi="宋体"/>
          <w:szCs w:val="21"/>
        </w:rPr>
      </w:pPr>
      <w:r w:rsidRPr="001E347D">
        <w:rPr>
          <w:rFonts w:ascii="宋体" w:hAnsi="宋体" w:hint="eastAsia"/>
          <w:szCs w:val="21"/>
        </w:rPr>
        <w:t>集团公司汇率风险价值（万元人民币）</w:t>
      </w:r>
    </w:p>
    <w:p w:rsidR="00475760" w:rsidRPr="001E347D" w:rsidRDefault="00475760" w:rsidP="00475760">
      <w:pPr>
        <w:adjustRightInd w:val="0"/>
        <w:spacing w:line="500" w:lineRule="exact"/>
        <w:jc w:val="center"/>
        <w:rPr>
          <w:rFonts w:ascii="宋体" w:hAnsi="宋体"/>
          <w:szCs w:val="21"/>
        </w:rPr>
      </w:pPr>
      <w:r w:rsidRPr="001E347D">
        <w:rPr>
          <w:rFonts w:ascii="宋体" w:hAnsi="宋体" w:hint="eastAsia"/>
          <w:szCs w:val="21"/>
        </w:rPr>
        <w:t>2010年12月与2009年12月汇率风险敞口及价值对比表</w:t>
      </w:r>
    </w:p>
    <w:p w:rsidR="00475760" w:rsidRPr="001E347D" w:rsidRDefault="00475760" w:rsidP="00475760">
      <w:pPr>
        <w:adjustRightInd w:val="0"/>
        <w:spacing w:line="360" w:lineRule="exact"/>
        <w:jc w:val="center"/>
        <w:rPr>
          <w:rFonts w:ascii="宋体" w:hAnsi="宋体"/>
          <w:szCs w:val="21"/>
        </w:rPr>
      </w:pPr>
      <w:r w:rsidRPr="001E347D">
        <w:rPr>
          <w:rFonts w:ascii="宋体" w:hAnsi="宋体" w:hint="eastAsia"/>
          <w:szCs w:val="21"/>
        </w:rPr>
        <w:t xml:space="preserve">                                                          单位：亿元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452"/>
        <w:gridCol w:w="1657"/>
        <w:gridCol w:w="1657"/>
        <w:gridCol w:w="1346"/>
      </w:tblGrid>
      <w:tr w:rsidR="00475760" w:rsidRPr="001E347D" w:rsidTr="007929E7">
        <w:trPr>
          <w:jc w:val="center"/>
        </w:trPr>
        <w:tc>
          <w:tcPr>
            <w:tcW w:w="1540"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敞口及价值</w:t>
            </w: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时间</w:t>
            </w:r>
          </w:p>
        </w:tc>
        <w:tc>
          <w:tcPr>
            <w:tcW w:w="1580"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2010年12月</w:t>
            </w:r>
          </w:p>
        </w:tc>
        <w:tc>
          <w:tcPr>
            <w:tcW w:w="1498"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2009年12月</w:t>
            </w:r>
          </w:p>
        </w:tc>
        <w:tc>
          <w:tcPr>
            <w:tcW w:w="1346"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增减幅度</w:t>
            </w:r>
          </w:p>
        </w:tc>
      </w:tr>
      <w:tr w:rsidR="00475760" w:rsidRPr="001E347D" w:rsidTr="007929E7">
        <w:trPr>
          <w:jc w:val="center"/>
        </w:trPr>
        <w:tc>
          <w:tcPr>
            <w:tcW w:w="1540" w:type="dxa"/>
            <w:vMerge w:val="restart"/>
            <w:textDirection w:val="tbRlV"/>
            <w:vAlign w:val="center"/>
          </w:tcPr>
          <w:p w:rsidR="00475760" w:rsidRPr="001E347D" w:rsidRDefault="00475760" w:rsidP="007929E7">
            <w:pPr>
              <w:adjustRightInd w:val="0"/>
              <w:spacing w:line="380" w:lineRule="exact"/>
              <w:ind w:left="113" w:right="113"/>
              <w:jc w:val="center"/>
              <w:rPr>
                <w:rFonts w:ascii="宋体" w:hAnsi="宋体"/>
                <w:szCs w:val="21"/>
              </w:rPr>
            </w:pPr>
            <w:r w:rsidRPr="001E347D">
              <w:rPr>
                <w:rFonts w:ascii="宋体" w:hAnsi="宋体" w:hint="eastAsia"/>
                <w:szCs w:val="21"/>
              </w:rPr>
              <w:t>汇率风险敞口</w:t>
            </w: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3个月</w:t>
            </w:r>
          </w:p>
        </w:tc>
        <w:tc>
          <w:tcPr>
            <w:tcW w:w="1580"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399.06</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282.46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-29.22%</w:t>
            </w:r>
          </w:p>
        </w:tc>
      </w:tr>
      <w:tr w:rsidR="00475760" w:rsidRPr="001E347D" w:rsidTr="007929E7">
        <w:trPr>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6个月</w:t>
            </w:r>
          </w:p>
        </w:tc>
        <w:tc>
          <w:tcPr>
            <w:tcW w:w="1580" w:type="dxa"/>
            <w:vAlign w:val="bottom"/>
          </w:tcPr>
          <w:p w:rsidR="00475760" w:rsidRPr="001E347D" w:rsidRDefault="00475760" w:rsidP="007929E7">
            <w:pPr>
              <w:spacing w:line="380" w:lineRule="exact"/>
              <w:jc w:val="center"/>
              <w:rPr>
                <w:rFonts w:ascii="宋体" w:hAnsi="宋体"/>
                <w:color w:val="FF0000"/>
                <w:szCs w:val="21"/>
              </w:rPr>
            </w:pPr>
            <w:r w:rsidRPr="001E347D">
              <w:rPr>
                <w:rFonts w:ascii="宋体" w:hAnsi="宋体"/>
                <w:color w:val="FF0000"/>
                <w:szCs w:val="21"/>
              </w:rPr>
              <w:t>[[indicator0]]</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135.16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-67.77%</w:t>
            </w:r>
          </w:p>
        </w:tc>
      </w:tr>
      <w:tr w:rsidR="00475760" w:rsidRPr="001E347D" w:rsidTr="007929E7">
        <w:trPr>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9个月</w:t>
            </w:r>
          </w:p>
        </w:tc>
        <w:tc>
          <w:tcPr>
            <w:tcW w:w="1580"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425.18</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358.42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-15.70%</w:t>
            </w:r>
          </w:p>
        </w:tc>
      </w:tr>
      <w:tr w:rsidR="00475760" w:rsidRPr="001E347D" w:rsidTr="007929E7">
        <w:trPr>
          <w:trHeight w:val="431"/>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12个月</w:t>
            </w:r>
          </w:p>
        </w:tc>
        <w:tc>
          <w:tcPr>
            <w:tcW w:w="1580" w:type="dxa"/>
            <w:vAlign w:val="center"/>
          </w:tcPr>
          <w:p w:rsidR="00475760" w:rsidRPr="001E347D" w:rsidRDefault="00475760" w:rsidP="007929E7">
            <w:pPr>
              <w:spacing w:line="380" w:lineRule="exact"/>
              <w:ind w:firstLineChars="200" w:firstLine="412"/>
              <w:jc w:val="center"/>
              <w:rPr>
                <w:rFonts w:ascii="宋体" w:hAnsi="宋体"/>
                <w:szCs w:val="21"/>
              </w:rPr>
            </w:pPr>
            <w:r w:rsidRPr="001E347D">
              <w:rPr>
                <w:rFonts w:ascii="宋体" w:hAnsi="宋体" w:hint="eastAsia"/>
                <w:szCs w:val="21"/>
              </w:rPr>
              <w:t>431</w:t>
            </w:r>
          </w:p>
        </w:tc>
        <w:tc>
          <w:tcPr>
            <w:tcW w:w="1498" w:type="dxa"/>
            <w:vAlign w:val="center"/>
          </w:tcPr>
          <w:p w:rsidR="00475760" w:rsidRPr="001E347D" w:rsidRDefault="00475760" w:rsidP="007929E7">
            <w:pPr>
              <w:spacing w:line="380" w:lineRule="exact"/>
              <w:jc w:val="center"/>
              <w:rPr>
                <w:rFonts w:ascii="宋体" w:hAnsi="宋体"/>
                <w:color w:val="FF0000"/>
                <w:szCs w:val="21"/>
              </w:rPr>
            </w:pPr>
            <w:r w:rsidRPr="001E347D">
              <w:rPr>
                <w:rFonts w:ascii="宋体" w:hAnsi="宋体"/>
                <w:color w:val="FF0000"/>
                <w:szCs w:val="21"/>
              </w:rPr>
              <w:t>[[indicator1]]</w:t>
            </w:r>
          </w:p>
        </w:tc>
        <w:tc>
          <w:tcPr>
            <w:tcW w:w="1346"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-22.60%</w:t>
            </w:r>
          </w:p>
        </w:tc>
      </w:tr>
      <w:tr w:rsidR="00475760" w:rsidRPr="001E347D" w:rsidTr="007929E7">
        <w:trPr>
          <w:jc w:val="center"/>
        </w:trPr>
        <w:tc>
          <w:tcPr>
            <w:tcW w:w="1540" w:type="dxa"/>
            <w:vMerge w:val="restart"/>
            <w:textDirection w:val="tbRlV"/>
            <w:vAlign w:val="center"/>
          </w:tcPr>
          <w:p w:rsidR="00475760" w:rsidRPr="001E347D" w:rsidRDefault="00475760" w:rsidP="007929E7">
            <w:pPr>
              <w:adjustRightInd w:val="0"/>
              <w:spacing w:line="380" w:lineRule="exact"/>
              <w:ind w:left="113" w:right="113"/>
              <w:rPr>
                <w:rFonts w:ascii="宋体" w:hAnsi="宋体"/>
                <w:szCs w:val="21"/>
              </w:rPr>
            </w:pPr>
            <w:r w:rsidRPr="001E347D">
              <w:rPr>
                <w:rFonts w:ascii="宋体" w:hAnsi="宋体" w:hint="eastAsia"/>
                <w:szCs w:val="21"/>
              </w:rPr>
              <w:t>汇率风险价值</w:t>
            </w:r>
          </w:p>
        </w:tc>
        <w:tc>
          <w:tcPr>
            <w:tcW w:w="1452" w:type="dxa"/>
            <w:vAlign w:val="center"/>
          </w:tcPr>
          <w:p w:rsidR="00475760" w:rsidRPr="001E347D" w:rsidRDefault="00475760" w:rsidP="007929E7">
            <w:pPr>
              <w:adjustRightInd w:val="0"/>
              <w:spacing w:line="380" w:lineRule="exact"/>
              <w:rPr>
                <w:rFonts w:ascii="宋体" w:hAnsi="宋体"/>
                <w:szCs w:val="21"/>
              </w:rPr>
            </w:pPr>
            <w:r w:rsidRPr="001E347D">
              <w:rPr>
                <w:rFonts w:ascii="宋体" w:hAnsi="宋体" w:hint="eastAsia"/>
                <w:szCs w:val="21"/>
              </w:rPr>
              <w:t xml:space="preserve">  3个月</w:t>
            </w:r>
          </w:p>
        </w:tc>
        <w:tc>
          <w:tcPr>
            <w:tcW w:w="1580"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12.44</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6.41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-48.46%</w:t>
            </w:r>
          </w:p>
        </w:tc>
      </w:tr>
      <w:tr w:rsidR="00475760" w:rsidRPr="001E347D" w:rsidTr="007929E7">
        <w:trPr>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6个月</w:t>
            </w:r>
          </w:p>
        </w:tc>
        <w:tc>
          <w:tcPr>
            <w:tcW w:w="1580"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19.08</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10.41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-45.46%</w:t>
            </w:r>
          </w:p>
        </w:tc>
      </w:tr>
      <w:tr w:rsidR="00475760" w:rsidRPr="001E347D" w:rsidTr="007929E7">
        <w:trPr>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9个月</w:t>
            </w:r>
          </w:p>
        </w:tc>
        <w:tc>
          <w:tcPr>
            <w:tcW w:w="1580" w:type="dxa"/>
            <w:vAlign w:val="bottom"/>
          </w:tcPr>
          <w:p w:rsidR="00475760" w:rsidRPr="001E347D" w:rsidRDefault="00475760" w:rsidP="007929E7">
            <w:pPr>
              <w:spacing w:line="380" w:lineRule="exact"/>
              <w:jc w:val="center"/>
              <w:rPr>
                <w:rFonts w:ascii="宋体" w:hAnsi="宋体"/>
                <w:color w:val="FF0000"/>
                <w:szCs w:val="21"/>
              </w:rPr>
            </w:pPr>
            <w:r w:rsidRPr="001E347D">
              <w:rPr>
                <w:rFonts w:ascii="宋体" w:hAnsi="宋体"/>
                <w:color w:val="FF0000"/>
                <w:szCs w:val="21"/>
              </w:rPr>
              <w:t>[[indicator2]]</w:t>
            </w:r>
          </w:p>
        </w:tc>
        <w:tc>
          <w:tcPr>
            <w:tcW w:w="1498" w:type="dxa"/>
            <w:vAlign w:val="bottom"/>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 xml:space="preserve"> 16.25 </w:t>
            </w:r>
          </w:p>
        </w:tc>
        <w:tc>
          <w:tcPr>
            <w:tcW w:w="1346" w:type="dxa"/>
            <w:vAlign w:val="bottom"/>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-45.26%</w:t>
            </w:r>
          </w:p>
        </w:tc>
      </w:tr>
      <w:tr w:rsidR="00475760" w:rsidRPr="001E347D" w:rsidTr="007929E7">
        <w:trPr>
          <w:trHeight w:val="322"/>
          <w:jc w:val="center"/>
        </w:trPr>
        <w:tc>
          <w:tcPr>
            <w:tcW w:w="1540" w:type="dxa"/>
            <w:vMerge/>
            <w:vAlign w:val="center"/>
          </w:tcPr>
          <w:p w:rsidR="00475760" w:rsidRPr="001E347D" w:rsidRDefault="00475760" w:rsidP="007929E7">
            <w:pPr>
              <w:adjustRightInd w:val="0"/>
              <w:spacing w:line="380" w:lineRule="exact"/>
              <w:jc w:val="center"/>
              <w:rPr>
                <w:rFonts w:ascii="宋体" w:hAnsi="宋体"/>
                <w:szCs w:val="21"/>
              </w:rPr>
            </w:pPr>
          </w:p>
        </w:tc>
        <w:tc>
          <w:tcPr>
            <w:tcW w:w="1452"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12个月</w:t>
            </w:r>
          </w:p>
        </w:tc>
        <w:tc>
          <w:tcPr>
            <w:tcW w:w="1580" w:type="dxa"/>
            <w:vAlign w:val="center"/>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35.10</w:t>
            </w:r>
          </w:p>
        </w:tc>
        <w:tc>
          <w:tcPr>
            <w:tcW w:w="1498" w:type="dxa"/>
            <w:vAlign w:val="center"/>
          </w:tcPr>
          <w:p w:rsidR="00475760" w:rsidRPr="001E347D" w:rsidRDefault="00475760" w:rsidP="007929E7">
            <w:pPr>
              <w:spacing w:line="380" w:lineRule="exact"/>
              <w:jc w:val="center"/>
              <w:rPr>
                <w:rFonts w:ascii="宋体" w:hAnsi="宋体"/>
                <w:szCs w:val="21"/>
              </w:rPr>
            </w:pPr>
            <w:r w:rsidRPr="001E347D">
              <w:rPr>
                <w:rFonts w:ascii="宋体" w:hAnsi="宋体" w:hint="eastAsia"/>
                <w:szCs w:val="21"/>
              </w:rPr>
              <w:t>17.84</w:t>
            </w:r>
          </w:p>
        </w:tc>
        <w:tc>
          <w:tcPr>
            <w:tcW w:w="1346" w:type="dxa"/>
            <w:vAlign w:val="center"/>
          </w:tcPr>
          <w:p w:rsidR="00475760" w:rsidRPr="001E347D" w:rsidRDefault="00475760" w:rsidP="007929E7">
            <w:pPr>
              <w:adjustRightInd w:val="0"/>
              <w:spacing w:line="380" w:lineRule="exact"/>
              <w:jc w:val="center"/>
              <w:rPr>
                <w:rFonts w:ascii="宋体" w:hAnsi="宋体"/>
                <w:szCs w:val="21"/>
              </w:rPr>
            </w:pPr>
            <w:r w:rsidRPr="001E347D">
              <w:rPr>
                <w:rFonts w:ascii="宋体" w:hAnsi="宋体" w:hint="eastAsia"/>
                <w:szCs w:val="21"/>
              </w:rPr>
              <w:t>-49.16</w:t>
            </w:r>
          </w:p>
        </w:tc>
      </w:tr>
    </w:tbl>
    <w:p w:rsidR="00475760" w:rsidRPr="001E347D" w:rsidRDefault="00475760" w:rsidP="00475760">
      <w:pPr>
        <w:adjustRightInd w:val="0"/>
        <w:spacing w:line="500" w:lineRule="exact"/>
        <w:ind w:firstLineChars="200" w:firstLine="552"/>
        <w:rPr>
          <w:rFonts w:ascii="宋体" w:hAnsi="宋体"/>
          <w:sz w:val="28"/>
          <w:szCs w:val="28"/>
        </w:rPr>
      </w:pPr>
      <w:r w:rsidRPr="001E347D">
        <w:rPr>
          <w:rFonts w:ascii="宋体" w:hAnsi="宋体" w:hint="eastAsia"/>
          <w:sz w:val="28"/>
          <w:szCs w:val="28"/>
        </w:rPr>
        <w:t>与2009年相比，汇率风险敞口价值和汇率风险价值均有相当幅度的减小（见上表）。这主要是企业加强了汇率风险管理，取得了良好效果：</w:t>
      </w:r>
    </w:p>
    <w:p w:rsidR="00475760" w:rsidRPr="001E347D" w:rsidRDefault="00475760" w:rsidP="00475760">
      <w:pPr>
        <w:adjustRightInd w:val="0"/>
        <w:spacing w:line="500" w:lineRule="exact"/>
        <w:ind w:firstLineChars="200" w:firstLine="552"/>
        <w:rPr>
          <w:rFonts w:ascii="宋体" w:hAnsi="宋体"/>
          <w:sz w:val="28"/>
          <w:szCs w:val="28"/>
        </w:rPr>
      </w:pPr>
      <w:r w:rsidRPr="001E347D">
        <w:rPr>
          <w:rFonts w:ascii="宋体" w:hAnsi="宋体" w:hint="eastAsia"/>
          <w:sz w:val="28"/>
          <w:szCs w:val="28"/>
        </w:rPr>
        <w:lastRenderedPageBreak/>
        <w:t>（一）汇率风险管理意识加强，海外勘探开发公司英镑管理成效显著</w:t>
      </w:r>
    </w:p>
    <w:p w:rsidR="00475760" w:rsidRPr="001E347D" w:rsidRDefault="00475760" w:rsidP="00475760">
      <w:pPr>
        <w:adjustRightInd w:val="0"/>
        <w:spacing w:line="500" w:lineRule="exact"/>
        <w:ind w:firstLineChars="200" w:firstLine="552"/>
        <w:rPr>
          <w:rFonts w:ascii="宋体" w:hAnsi="宋体"/>
          <w:sz w:val="28"/>
          <w:szCs w:val="28"/>
        </w:rPr>
      </w:pPr>
      <w:r w:rsidRPr="001E347D">
        <w:rPr>
          <w:rFonts w:ascii="宋体" w:hAnsi="宋体" w:hint="eastAsia"/>
          <w:sz w:val="28"/>
          <w:szCs w:val="28"/>
        </w:rPr>
        <w:t>2009年底，经测算，海外勘探开发公司</w:t>
      </w:r>
      <w:proofErr w:type="gramStart"/>
      <w:r w:rsidRPr="001E347D">
        <w:rPr>
          <w:rFonts w:ascii="宋体" w:hAnsi="宋体" w:hint="eastAsia"/>
          <w:sz w:val="28"/>
          <w:szCs w:val="28"/>
        </w:rPr>
        <w:t>英镑/</w:t>
      </w:r>
      <w:proofErr w:type="gramEnd"/>
      <w:r w:rsidRPr="001E347D">
        <w:rPr>
          <w:rFonts w:ascii="宋体" w:hAnsi="宋体" w:hint="eastAsia"/>
          <w:sz w:val="28"/>
          <w:szCs w:val="28"/>
        </w:rPr>
        <w:t>美元汇率风险价值占集团公司汇率风险价值的47%。经提示风险后，海外勘探开发公司加强了对英镑的管理。2010年初，海外勘探开发公司英镑存量余额为</w:t>
      </w:r>
      <w:r w:rsidRPr="001E347D">
        <w:rPr>
          <w:rFonts w:ascii="宋体" w:hAnsi="宋体"/>
          <w:sz w:val="28"/>
          <w:szCs w:val="28"/>
        </w:rPr>
        <w:t>[[indicator3]]</w:t>
      </w:r>
      <w:r w:rsidRPr="001E347D">
        <w:rPr>
          <w:rFonts w:ascii="宋体" w:hAnsi="宋体" w:hint="eastAsia"/>
          <w:sz w:val="28"/>
          <w:szCs w:val="28"/>
        </w:rPr>
        <w:t>亿，本年收入</w:t>
      </w:r>
      <w:r w:rsidRPr="001E347D">
        <w:rPr>
          <w:rFonts w:ascii="宋体" w:hAnsi="宋体"/>
          <w:sz w:val="28"/>
          <w:szCs w:val="28"/>
        </w:rPr>
        <w:t>[[indicator2]]</w:t>
      </w:r>
      <w:proofErr w:type="gramStart"/>
      <w:r w:rsidRPr="001E347D">
        <w:rPr>
          <w:rFonts w:ascii="宋体" w:hAnsi="宋体" w:hint="eastAsia"/>
          <w:sz w:val="28"/>
          <w:szCs w:val="28"/>
        </w:rPr>
        <w:t>亿英镑</w:t>
      </w:r>
      <w:proofErr w:type="gramEnd"/>
      <w:r w:rsidRPr="001E347D">
        <w:rPr>
          <w:rFonts w:ascii="宋体" w:hAnsi="宋体" w:hint="eastAsia"/>
          <w:sz w:val="28"/>
          <w:szCs w:val="28"/>
        </w:rPr>
        <w:t>，无英镑支出。海外勘探开发公司通过财务公司开展了</w:t>
      </w:r>
      <w:r w:rsidRPr="001E347D">
        <w:rPr>
          <w:rFonts w:ascii="宋体" w:hAnsi="宋体"/>
          <w:sz w:val="28"/>
          <w:szCs w:val="28"/>
        </w:rPr>
        <w:t>[[indicator4]]</w:t>
      </w:r>
      <w:proofErr w:type="gramStart"/>
      <w:r w:rsidRPr="001E347D">
        <w:rPr>
          <w:rFonts w:ascii="宋体" w:hAnsi="宋体" w:hint="eastAsia"/>
          <w:sz w:val="28"/>
          <w:szCs w:val="28"/>
        </w:rPr>
        <w:t>亿英镑</w:t>
      </w:r>
      <w:proofErr w:type="gramEnd"/>
      <w:r w:rsidRPr="001E347D">
        <w:rPr>
          <w:rFonts w:ascii="宋体" w:hAnsi="宋体" w:hint="eastAsia"/>
          <w:sz w:val="28"/>
          <w:szCs w:val="28"/>
        </w:rPr>
        <w:t>/美元远期外汇交易，锁定</w:t>
      </w:r>
      <w:proofErr w:type="gramStart"/>
      <w:r w:rsidRPr="001E347D">
        <w:rPr>
          <w:rFonts w:ascii="宋体" w:hAnsi="宋体" w:hint="eastAsia"/>
          <w:sz w:val="28"/>
          <w:szCs w:val="28"/>
        </w:rPr>
        <w:t>英镑/</w:t>
      </w:r>
      <w:proofErr w:type="gramEnd"/>
      <w:r w:rsidRPr="001E347D">
        <w:rPr>
          <w:rFonts w:ascii="宋体" w:hAnsi="宋体" w:hint="eastAsia"/>
          <w:sz w:val="28"/>
          <w:szCs w:val="28"/>
        </w:rPr>
        <w:t>美元汇率为1.5958，目前已交割完毕；通过财务公司选择有利时机即期兑换了</w:t>
      </w:r>
      <w:r w:rsidRPr="001E347D">
        <w:rPr>
          <w:rFonts w:ascii="宋体" w:hAnsi="宋体"/>
          <w:sz w:val="28"/>
          <w:szCs w:val="28"/>
        </w:rPr>
        <w:t>[[indicator2]]</w:t>
      </w:r>
      <w:proofErr w:type="gramStart"/>
      <w:r w:rsidRPr="001E347D">
        <w:rPr>
          <w:rFonts w:ascii="宋体" w:hAnsi="宋体" w:hint="eastAsia"/>
          <w:sz w:val="28"/>
          <w:szCs w:val="28"/>
        </w:rPr>
        <w:t>亿英镑</w:t>
      </w:r>
      <w:proofErr w:type="gramEnd"/>
      <w:r w:rsidRPr="001E347D">
        <w:rPr>
          <w:rFonts w:ascii="宋体" w:hAnsi="宋体" w:hint="eastAsia"/>
          <w:sz w:val="28"/>
          <w:szCs w:val="28"/>
        </w:rPr>
        <w:t>，兑换平均汇率为1.5990。以上远期和即期兑换汇率均高于全年平均汇率1.5453和最低汇率1.4203，规避了英镑汇率损失，保障了项目经营成果。</w:t>
      </w:r>
    </w:p>
    <w:p w:rsidR="00475760" w:rsidRPr="001E347D" w:rsidRDefault="00475760" w:rsidP="00475760">
      <w:pPr>
        <w:adjustRightInd w:val="0"/>
        <w:spacing w:line="500" w:lineRule="exact"/>
        <w:ind w:firstLineChars="200" w:firstLine="552"/>
        <w:rPr>
          <w:rFonts w:ascii="宋体" w:hAnsi="宋体"/>
          <w:sz w:val="28"/>
          <w:szCs w:val="28"/>
        </w:rPr>
      </w:pPr>
      <w:r w:rsidRPr="001E347D">
        <w:rPr>
          <w:rFonts w:ascii="宋体" w:hAnsi="宋体" w:hint="eastAsia"/>
          <w:sz w:val="28"/>
          <w:szCs w:val="28"/>
        </w:rPr>
        <w:t>此外，海外勘探开发公司澳大利亚太平洋项目，通过财务公司进行远期美元兑换澳元交易，为集团公司节省了</w:t>
      </w:r>
      <w:r w:rsidRPr="001E347D">
        <w:rPr>
          <w:rFonts w:ascii="宋体" w:hAnsi="宋体"/>
          <w:sz w:val="28"/>
          <w:szCs w:val="28"/>
        </w:rPr>
        <w:t>[[indicator4]]</w:t>
      </w:r>
      <w:r w:rsidRPr="001E347D">
        <w:rPr>
          <w:rFonts w:ascii="宋体" w:hAnsi="宋体" w:hint="eastAsia"/>
          <w:sz w:val="28"/>
          <w:szCs w:val="28"/>
        </w:rPr>
        <w:t>亿美元。</w:t>
      </w:r>
    </w:p>
    <w:p w:rsidR="00475760" w:rsidRPr="001E347D" w:rsidRDefault="00475760" w:rsidP="00475760">
      <w:pPr>
        <w:adjustRightInd w:val="0"/>
        <w:spacing w:line="500" w:lineRule="exact"/>
        <w:rPr>
          <w:rFonts w:ascii="宋体" w:hAnsi="宋体"/>
          <w:sz w:val="24"/>
        </w:rPr>
      </w:pPr>
      <w:r w:rsidRPr="001E347D">
        <w:rPr>
          <w:rFonts w:ascii="宋体" w:hAnsi="宋体" w:hint="eastAsia"/>
          <w:sz w:val="28"/>
          <w:szCs w:val="28"/>
        </w:rPr>
        <w:t xml:space="preserve">    （二）外汇交易活跃，外汇衍生交易成为企业重要的汇率风险管理工具。                                          </w:t>
      </w:r>
    </w:p>
    <w:p w:rsidR="00475760" w:rsidRPr="001E347D" w:rsidRDefault="00475760" w:rsidP="00262C54">
      <w:pPr>
        <w:adjustRightInd w:val="0"/>
        <w:spacing w:line="500" w:lineRule="exact"/>
        <w:ind w:firstLineChars="200" w:firstLine="554"/>
        <w:rPr>
          <w:rFonts w:ascii="宋体" w:hAnsi="宋体"/>
          <w:sz w:val="28"/>
          <w:szCs w:val="28"/>
        </w:rPr>
      </w:pPr>
      <w:r w:rsidRPr="001E347D">
        <w:rPr>
          <w:rFonts w:ascii="宋体" w:hAnsi="宋体" w:hint="eastAsia"/>
          <w:b/>
          <w:sz w:val="28"/>
          <w:szCs w:val="28"/>
        </w:rPr>
        <w:t>即期结售汇及外币兑换是企业规避汇率风险的基本手段。</w:t>
      </w:r>
      <w:r w:rsidRPr="001E347D">
        <w:rPr>
          <w:rFonts w:ascii="宋体" w:hAnsi="宋体" w:hint="eastAsia"/>
          <w:sz w:val="28"/>
          <w:szCs w:val="28"/>
        </w:rPr>
        <w:t>年初至</w:t>
      </w:r>
      <w:r w:rsidRPr="001E347D">
        <w:rPr>
          <w:rFonts w:ascii="宋体" w:hAnsi="宋体"/>
          <w:sz w:val="28"/>
          <w:szCs w:val="28"/>
        </w:rPr>
        <w:t>11</w:t>
      </w:r>
      <w:r w:rsidRPr="001E347D">
        <w:rPr>
          <w:rFonts w:ascii="宋体" w:hAnsi="宋体" w:hint="eastAsia"/>
          <w:sz w:val="28"/>
          <w:szCs w:val="28"/>
        </w:rPr>
        <w:t>月份，成员企业通过财务公司累计发生结售汇</w:t>
      </w:r>
      <w:r w:rsidRPr="001E347D">
        <w:rPr>
          <w:rFonts w:ascii="宋体" w:hAnsi="宋体"/>
          <w:sz w:val="28"/>
          <w:szCs w:val="28"/>
        </w:rPr>
        <w:t>[[indicator2]]</w:t>
      </w:r>
      <w:r w:rsidRPr="001E347D">
        <w:rPr>
          <w:rFonts w:ascii="宋体" w:hAnsi="宋体" w:hint="eastAsia"/>
          <w:sz w:val="28"/>
          <w:szCs w:val="28"/>
        </w:rPr>
        <w:t>亿美元，其中境内结售汇业务</w:t>
      </w:r>
      <w:r w:rsidRPr="001E347D">
        <w:rPr>
          <w:rFonts w:ascii="宋体" w:hAnsi="宋体"/>
          <w:sz w:val="28"/>
          <w:szCs w:val="28"/>
        </w:rPr>
        <w:t>[[expression8]]</w:t>
      </w:r>
      <w:r w:rsidRPr="001E347D">
        <w:rPr>
          <w:rFonts w:ascii="宋体" w:hAnsi="宋体" w:hint="eastAsia"/>
          <w:sz w:val="28"/>
          <w:szCs w:val="28"/>
        </w:rPr>
        <w:t>亿美元，境外购售汇业务</w:t>
      </w:r>
      <w:r w:rsidRPr="001E347D">
        <w:rPr>
          <w:rFonts w:ascii="宋体" w:hAnsi="宋体"/>
          <w:sz w:val="28"/>
          <w:szCs w:val="28"/>
        </w:rPr>
        <w:t>[[expression9]]</w:t>
      </w:r>
      <w:r w:rsidRPr="001E347D">
        <w:rPr>
          <w:rFonts w:ascii="宋体" w:hAnsi="宋体" w:hint="eastAsia"/>
          <w:sz w:val="28"/>
          <w:szCs w:val="28"/>
        </w:rPr>
        <w:t>亿美元；累计发生外汇兑换业务</w:t>
      </w:r>
      <w:r w:rsidRPr="001E347D">
        <w:rPr>
          <w:rFonts w:ascii="宋体" w:hAnsi="宋体"/>
          <w:sz w:val="28"/>
          <w:szCs w:val="28"/>
        </w:rPr>
        <w:t>28</w:t>
      </w:r>
      <w:r w:rsidRPr="001E347D">
        <w:rPr>
          <w:rFonts w:ascii="宋体" w:hAnsi="宋体" w:hint="eastAsia"/>
          <w:sz w:val="28"/>
          <w:szCs w:val="28"/>
        </w:rPr>
        <w:t>亿美元。</w:t>
      </w:r>
    </w:p>
    <w:p w:rsidR="00475760" w:rsidRPr="001E347D" w:rsidRDefault="00475760" w:rsidP="00262C54">
      <w:pPr>
        <w:adjustRightInd w:val="0"/>
        <w:spacing w:line="500" w:lineRule="exact"/>
        <w:ind w:firstLineChars="200" w:firstLine="554"/>
        <w:rPr>
          <w:rFonts w:ascii="宋体" w:hAnsi="宋体"/>
          <w:szCs w:val="21"/>
        </w:rPr>
      </w:pPr>
      <w:r w:rsidRPr="001E347D">
        <w:rPr>
          <w:rFonts w:ascii="宋体" w:hAnsi="宋体" w:hint="eastAsia"/>
          <w:b/>
          <w:sz w:val="28"/>
          <w:szCs w:val="28"/>
        </w:rPr>
        <w:t>外汇衍生交易逐渐成为涉外企业重要的汇率风险管理工具。</w:t>
      </w:r>
      <w:r w:rsidRPr="001E347D">
        <w:rPr>
          <w:rFonts w:ascii="宋体" w:hAnsi="宋体" w:hint="eastAsia"/>
          <w:sz w:val="28"/>
          <w:szCs w:val="28"/>
        </w:rPr>
        <w:t>年初至</w:t>
      </w:r>
      <w:r w:rsidRPr="001E347D">
        <w:rPr>
          <w:rFonts w:ascii="宋体" w:hAnsi="宋体"/>
          <w:sz w:val="28"/>
          <w:szCs w:val="28"/>
        </w:rPr>
        <w:t>11</w:t>
      </w:r>
      <w:r w:rsidRPr="001E347D">
        <w:rPr>
          <w:rFonts w:ascii="宋体" w:hAnsi="宋体" w:hint="eastAsia"/>
          <w:sz w:val="28"/>
          <w:szCs w:val="28"/>
        </w:rPr>
        <w:t>月份，财务公司（含香港财务公司）自身套期保值业务，外汇掉期累计发生欧元兑美元、英镑兑美元、</w:t>
      </w:r>
      <w:proofErr w:type="gramStart"/>
      <w:r w:rsidRPr="001E347D">
        <w:rPr>
          <w:rFonts w:ascii="宋体" w:hAnsi="宋体" w:hint="eastAsia"/>
          <w:sz w:val="28"/>
          <w:szCs w:val="28"/>
        </w:rPr>
        <w:t>迪</w:t>
      </w:r>
      <w:proofErr w:type="gramEnd"/>
      <w:r w:rsidRPr="001E347D">
        <w:rPr>
          <w:rFonts w:ascii="宋体" w:hAnsi="宋体" w:hint="eastAsia"/>
          <w:sz w:val="28"/>
          <w:szCs w:val="28"/>
        </w:rPr>
        <w:t>拉</w:t>
      </w:r>
      <w:proofErr w:type="gramStart"/>
      <w:r w:rsidRPr="001E347D">
        <w:rPr>
          <w:rFonts w:ascii="宋体" w:hAnsi="宋体" w:hint="eastAsia"/>
          <w:sz w:val="28"/>
          <w:szCs w:val="28"/>
        </w:rPr>
        <w:t>姆</w:t>
      </w:r>
      <w:proofErr w:type="gramEnd"/>
      <w:r w:rsidRPr="001E347D">
        <w:rPr>
          <w:rFonts w:ascii="宋体" w:hAnsi="宋体" w:hint="eastAsia"/>
          <w:sz w:val="28"/>
          <w:szCs w:val="28"/>
        </w:rPr>
        <w:t>兑美元等交易</w:t>
      </w:r>
      <w:r w:rsidRPr="001E347D">
        <w:rPr>
          <w:rFonts w:ascii="宋体" w:hAnsi="宋体"/>
          <w:sz w:val="28"/>
          <w:szCs w:val="28"/>
        </w:rPr>
        <w:t>43</w:t>
      </w:r>
      <w:r w:rsidRPr="001E347D">
        <w:rPr>
          <w:rFonts w:ascii="宋体" w:hAnsi="宋体" w:hint="eastAsia"/>
          <w:sz w:val="28"/>
          <w:szCs w:val="28"/>
        </w:rPr>
        <w:t>笔，名义金额折合美元合计</w:t>
      </w:r>
      <w:r w:rsidRPr="001E347D">
        <w:rPr>
          <w:rFonts w:ascii="宋体" w:hAnsi="宋体"/>
          <w:sz w:val="28"/>
          <w:szCs w:val="28"/>
        </w:rPr>
        <w:t>[[indicator4]]</w:t>
      </w:r>
      <w:r w:rsidRPr="001E347D">
        <w:rPr>
          <w:rFonts w:ascii="宋体" w:hAnsi="宋体" w:hint="eastAsia"/>
          <w:sz w:val="28"/>
          <w:szCs w:val="28"/>
        </w:rPr>
        <w:t>亿美元，已到期交割或平仓</w:t>
      </w:r>
      <w:r w:rsidRPr="001E347D">
        <w:rPr>
          <w:rFonts w:ascii="宋体" w:hAnsi="宋体"/>
          <w:sz w:val="28"/>
          <w:szCs w:val="28"/>
        </w:rPr>
        <w:t>41</w:t>
      </w:r>
      <w:r w:rsidRPr="001E347D">
        <w:rPr>
          <w:rFonts w:ascii="宋体" w:hAnsi="宋体" w:hint="eastAsia"/>
          <w:sz w:val="28"/>
          <w:szCs w:val="28"/>
        </w:rPr>
        <w:t>笔，余额</w:t>
      </w:r>
      <w:r w:rsidRPr="001E347D">
        <w:rPr>
          <w:rFonts w:ascii="宋体" w:hAnsi="宋体"/>
          <w:sz w:val="28"/>
          <w:szCs w:val="28"/>
        </w:rPr>
        <w:t>[[indicator2]]</w:t>
      </w:r>
      <w:proofErr w:type="gramStart"/>
      <w:r w:rsidRPr="001E347D">
        <w:rPr>
          <w:rFonts w:ascii="宋体" w:hAnsi="宋体" w:hint="eastAsia"/>
          <w:sz w:val="28"/>
          <w:szCs w:val="28"/>
        </w:rPr>
        <w:t>亿英镑</w:t>
      </w:r>
      <w:proofErr w:type="gramEnd"/>
      <w:r w:rsidRPr="001E347D">
        <w:rPr>
          <w:rFonts w:ascii="宋体" w:hAnsi="宋体" w:hint="eastAsia"/>
          <w:sz w:val="28"/>
          <w:szCs w:val="28"/>
        </w:rPr>
        <w:t>，产生掉</w:t>
      </w:r>
      <w:proofErr w:type="gramStart"/>
      <w:r w:rsidRPr="001E347D">
        <w:rPr>
          <w:rFonts w:ascii="宋体" w:hAnsi="宋体" w:hint="eastAsia"/>
          <w:sz w:val="28"/>
          <w:szCs w:val="28"/>
        </w:rPr>
        <w:t>期成本</w:t>
      </w:r>
      <w:proofErr w:type="gramEnd"/>
      <w:r w:rsidRPr="001E347D">
        <w:rPr>
          <w:rFonts w:ascii="宋体" w:hAnsi="宋体"/>
          <w:sz w:val="28"/>
          <w:szCs w:val="28"/>
        </w:rPr>
        <w:t>[[indicator1]]</w:t>
      </w:r>
      <w:r w:rsidRPr="001E347D">
        <w:rPr>
          <w:rFonts w:ascii="宋体" w:hAnsi="宋体" w:hint="eastAsia"/>
          <w:sz w:val="28"/>
          <w:szCs w:val="28"/>
        </w:rPr>
        <w:t>万美元；外汇远期累计发生无本金交割远期（</w:t>
      </w:r>
      <w:r w:rsidRPr="001E347D">
        <w:rPr>
          <w:rFonts w:ascii="宋体" w:hAnsi="宋体"/>
          <w:sz w:val="28"/>
          <w:szCs w:val="28"/>
        </w:rPr>
        <w:t>NDF</w:t>
      </w:r>
      <w:r w:rsidRPr="001E347D">
        <w:rPr>
          <w:rFonts w:ascii="宋体" w:hAnsi="宋体" w:hint="eastAsia"/>
          <w:sz w:val="28"/>
          <w:szCs w:val="28"/>
        </w:rPr>
        <w:t>）、英镑兑美元交易</w:t>
      </w:r>
      <w:r w:rsidRPr="001E347D">
        <w:rPr>
          <w:rFonts w:ascii="宋体" w:hAnsi="宋体"/>
          <w:sz w:val="28"/>
          <w:szCs w:val="28"/>
        </w:rPr>
        <w:t>40</w:t>
      </w:r>
      <w:r w:rsidRPr="001E347D">
        <w:rPr>
          <w:rFonts w:ascii="宋体" w:hAnsi="宋体" w:hint="eastAsia"/>
          <w:sz w:val="28"/>
          <w:szCs w:val="28"/>
        </w:rPr>
        <w:t>笔，名义金额折合美元合计</w:t>
      </w:r>
      <w:r w:rsidRPr="001E347D">
        <w:rPr>
          <w:rFonts w:ascii="宋体" w:hAnsi="宋体"/>
          <w:sz w:val="28"/>
          <w:szCs w:val="28"/>
        </w:rPr>
        <w:t>[[indicator2]]</w:t>
      </w:r>
      <w:r w:rsidRPr="001E347D">
        <w:rPr>
          <w:rFonts w:ascii="宋体" w:hAnsi="宋体" w:hint="eastAsia"/>
          <w:sz w:val="28"/>
          <w:szCs w:val="28"/>
        </w:rPr>
        <w:t>亿美元，全部到期交割或平仓，产生收益</w:t>
      </w:r>
      <w:r w:rsidRPr="001E347D">
        <w:rPr>
          <w:rFonts w:ascii="宋体" w:hAnsi="宋体"/>
          <w:sz w:val="28"/>
          <w:szCs w:val="28"/>
        </w:rPr>
        <w:lastRenderedPageBreak/>
        <w:t>[[indicator3]]</w:t>
      </w:r>
      <w:r w:rsidRPr="001E347D">
        <w:rPr>
          <w:rFonts w:ascii="宋体" w:hAnsi="宋体" w:hint="eastAsia"/>
          <w:sz w:val="28"/>
          <w:szCs w:val="28"/>
        </w:rPr>
        <w:t>万美元；代客交易方面，外汇远期累计发生英镑兑美元、美元兑澳元、美元兑加元、欧元兑美元及无本金交割远期（</w:t>
      </w:r>
      <w:r w:rsidRPr="001E347D">
        <w:rPr>
          <w:rFonts w:ascii="宋体" w:hAnsi="宋体"/>
          <w:sz w:val="28"/>
          <w:szCs w:val="28"/>
        </w:rPr>
        <w:t>NDF</w:t>
      </w:r>
      <w:r w:rsidRPr="001E347D">
        <w:rPr>
          <w:rFonts w:ascii="宋体" w:hAnsi="宋体" w:hint="eastAsia"/>
          <w:sz w:val="28"/>
          <w:szCs w:val="28"/>
        </w:rPr>
        <w:t>）等交易</w:t>
      </w:r>
      <w:r w:rsidRPr="001E347D">
        <w:rPr>
          <w:rFonts w:ascii="宋体" w:hAnsi="宋体"/>
          <w:sz w:val="28"/>
          <w:szCs w:val="28"/>
        </w:rPr>
        <w:t>131</w:t>
      </w:r>
      <w:r w:rsidRPr="001E347D">
        <w:rPr>
          <w:rFonts w:ascii="宋体" w:hAnsi="宋体" w:hint="eastAsia"/>
          <w:sz w:val="28"/>
          <w:szCs w:val="28"/>
        </w:rPr>
        <w:t>笔，名义金额折合美元合计</w:t>
      </w:r>
      <w:r w:rsidRPr="001E347D">
        <w:rPr>
          <w:rFonts w:ascii="宋体" w:hAnsi="宋体"/>
          <w:sz w:val="28"/>
          <w:szCs w:val="28"/>
        </w:rPr>
        <w:t>[[indicator1]]</w:t>
      </w:r>
      <w:r w:rsidRPr="001E347D">
        <w:rPr>
          <w:rFonts w:ascii="宋体" w:hAnsi="宋体" w:hint="eastAsia"/>
          <w:sz w:val="28"/>
          <w:szCs w:val="28"/>
        </w:rPr>
        <w:t>亿美元，已实现交割</w:t>
      </w:r>
      <w:r w:rsidRPr="001E347D">
        <w:rPr>
          <w:rFonts w:ascii="宋体" w:hAnsi="宋体"/>
          <w:sz w:val="28"/>
          <w:szCs w:val="28"/>
        </w:rPr>
        <w:t>129</w:t>
      </w:r>
      <w:r w:rsidRPr="001E347D">
        <w:rPr>
          <w:rFonts w:ascii="宋体" w:hAnsi="宋体" w:hint="eastAsia"/>
          <w:sz w:val="28"/>
          <w:szCs w:val="28"/>
        </w:rPr>
        <w:t>笔；外汇掉期累计发生欧元兑美元、澳元兑美元及美元兑加元</w:t>
      </w:r>
      <w:r w:rsidRPr="001E347D">
        <w:rPr>
          <w:rFonts w:ascii="宋体" w:hAnsi="宋体"/>
          <w:sz w:val="28"/>
          <w:szCs w:val="28"/>
        </w:rPr>
        <w:t>11</w:t>
      </w:r>
      <w:r w:rsidRPr="001E347D">
        <w:rPr>
          <w:rFonts w:ascii="宋体" w:hAnsi="宋体" w:hint="eastAsia"/>
          <w:sz w:val="28"/>
          <w:szCs w:val="28"/>
        </w:rPr>
        <w:t>笔，名义金额折合美元合计</w:t>
      </w:r>
      <w:r w:rsidRPr="001E347D">
        <w:rPr>
          <w:rFonts w:ascii="宋体" w:hAnsi="宋体"/>
          <w:sz w:val="28"/>
          <w:szCs w:val="28"/>
        </w:rPr>
        <w:t>[[indicator1]]</w:t>
      </w:r>
      <w:r w:rsidRPr="001E347D">
        <w:rPr>
          <w:rFonts w:ascii="宋体" w:hAnsi="宋体" w:hint="eastAsia"/>
          <w:sz w:val="28"/>
          <w:szCs w:val="28"/>
        </w:rPr>
        <w:t>亿美元，已全部交割；结构性存款累计发生澳元结构性存款</w:t>
      </w:r>
      <w:r w:rsidRPr="001E347D">
        <w:rPr>
          <w:rFonts w:ascii="宋体" w:hAnsi="宋体"/>
          <w:sz w:val="28"/>
          <w:szCs w:val="28"/>
        </w:rPr>
        <w:t>1</w:t>
      </w:r>
      <w:r w:rsidRPr="001E347D">
        <w:rPr>
          <w:rFonts w:ascii="宋体" w:hAnsi="宋体" w:hint="eastAsia"/>
          <w:sz w:val="28"/>
          <w:szCs w:val="28"/>
        </w:rPr>
        <w:t>笔，名义金额</w:t>
      </w:r>
      <w:r w:rsidRPr="001E347D">
        <w:rPr>
          <w:rFonts w:ascii="宋体" w:hAnsi="宋体"/>
          <w:sz w:val="28"/>
          <w:szCs w:val="28"/>
        </w:rPr>
        <w:t>[[indicator0]]</w:t>
      </w:r>
      <w:r w:rsidRPr="001E347D">
        <w:rPr>
          <w:rFonts w:ascii="宋体" w:hAnsi="宋体" w:hint="eastAsia"/>
          <w:sz w:val="28"/>
          <w:szCs w:val="28"/>
        </w:rPr>
        <w:t>万澳元，已交割。</w:t>
      </w:r>
    </w:p>
    <w:p w:rsidR="00475760" w:rsidRPr="001E347D" w:rsidRDefault="00475760" w:rsidP="00475760">
      <w:pPr>
        <w:rPr>
          <w:rFonts w:ascii="宋体" w:hAnsi="宋体"/>
        </w:rPr>
      </w:pPr>
      <w:r w:rsidRPr="001E347D">
        <w:rPr>
          <w:rFonts w:ascii="宋体" w:hAnsi="宋体"/>
          <w:noProof/>
        </w:rPr>
        <w:drawing>
          <wp:anchor distT="0" distB="0" distL="114300" distR="114300" simplePos="0" relativeHeight="251663360" behindDoc="0" locked="0" layoutInCell="1" allowOverlap="1">
            <wp:simplePos x="0" y="0"/>
            <wp:positionH relativeFrom="column">
              <wp:posOffset>544195</wp:posOffset>
            </wp:positionH>
            <wp:positionV relativeFrom="paragraph">
              <wp:posOffset>296545</wp:posOffset>
            </wp:positionV>
            <wp:extent cx="4343400" cy="1763395"/>
            <wp:effectExtent l="19050" t="0" r="0" b="0"/>
            <wp:wrapThrough wrapText="bothSides">
              <wp:wrapPolygon edited="0">
                <wp:start x="-95" y="0"/>
                <wp:lineTo x="-95" y="21468"/>
                <wp:lineTo x="21600" y="21468"/>
                <wp:lineTo x="21600" y="0"/>
                <wp:lineTo x="-95" y="0"/>
              </wp:wrapPolygon>
            </wp:wrapThrough>
            <wp:docPr id="1" name="图片 4" descr="[[cha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hart7]]"/>
                    <pic:cNvPicPr>
                      <a:picLocks noChangeAspect="1" noChangeArrowheads="1"/>
                    </pic:cNvPicPr>
                  </pic:nvPicPr>
                  <pic:blipFill>
                    <a:blip r:embed="rId8"/>
                    <a:srcRect/>
                    <a:stretch>
                      <a:fillRect/>
                    </a:stretch>
                  </pic:blipFill>
                  <pic:spPr bwMode="auto">
                    <a:xfrm>
                      <a:off x="0" y="0"/>
                      <a:ext cx="4343400" cy="1763395"/>
                    </a:xfrm>
                    <a:prstGeom prst="rect">
                      <a:avLst/>
                    </a:prstGeom>
                    <a:noFill/>
                    <a:ln w="9525">
                      <a:noFill/>
                      <a:miter lim="800000"/>
                      <a:headEnd/>
                      <a:tailEnd/>
                    </a:ln>
                  </pic:spPr>
                </pic:pic>
              </a:graphicData>
            </a:graphic>
          </wp:anchor>
        </w:drawing>
      </w:r>
    </w:p>
    <w:p w:rsidR="00475760" w:rsidRPr="001E347D" w:rsidRDefault="00475760" w:rsidP="00475760">
      <w:pPr>
        <w:rPr>
          <w:rFonts w:ascii="宋体" w:hAnsi="宋体"/>
        </w:rPr>
      </w:pPr>
    </w:p>
    <w:p w:rsidR="00D10F45" w:rsidRPr="001E347D" w:rsidRDefault="00D10F45" w:rsidP="00475760">
      <w:pPr>
        <w:rPr>
          <w:rFonts w:ascii="宋体" w:hAnsi="宋体"/>
        </w:rPr>
      </w:pPr>
    </w:p>
    <w:sectPr w:rsidR="00D10F45" w:rsidRPr="001E347D" w:rsidSect="00C80064">
      <w:footerReference w:type="even" r:id="rId9"/>
      <w:footerReference w:type="default" r:id="rId10"/>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FD" w:rsidRDefault="002D7CFD" w:rsidP="00034D5B">
      <w:r>
        <w:separator/>
      </w:r>
    </w:p>
  </w:endnote>
  <w:endnote w:type="continuationSeparator" w:id="1">
    <w:p w:rsidR="002D7CFD" w:rsidRDefault="002D7CFD" w:rsidP="00034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64" w:rsidRDefault="00ED43A0" w:rsidP="00C80064">
    <w:pPr>
      <w:pStyle w:val="a5"/>
      <w:framePr w:wrap="around" w:vAnchor="text" w:hAnchor="margin" w:xAlign="outside" w:y="1"/>
      <w:rPr>
        <w:rStyle w:val="a6"/>
      </w:rPr>
    </w:pPr>
    <w:r>
      <w:rPr>
        <w:rStyle w:val="a6"/>
      </w:rPr>
      <w:fldChar w:fldCharType="begin"/>
    </w:r>
    <w:r w:rsidR="00466DAC">
      <w:rPr>
        <w:rStyle w:val="a6"/>
      </w:rPr>
      <w:instrText xml:space="preserve">PAGE  </w:instrText>
    </w:r>
    <w:r>
      <w:rPr>
        <w:rStyle w:val="a6"/>
      </w:rPr>
      <w:fldChar w:fldCharType="end"/>
    </w:r>
  </w:p>
  <w:p w:rsidR="00C80064" w:rsidRDefault="00091FC9" w:rsidP="00C8006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64" w:rsidRPr="007512A0" w:rsidRDefault="00466DAC" w:rsidP="00C80064">
    <w:pPr>
      <w:pStyle w:val="a5"/>
      <w:framePr w:w="1588" w:h="357" w:wrap="around" w:vAnchor="text" w:hAnchor="margin" w:xAlign="outside" w:y="1"/>
      <w:jc w:val="center"/>
      <w:rPr>
        <w:rStyle w:val="a6"/>
        <w:rFonts w:ascii="Times New Roman" w:hAnsi="Times New Roman"/>
        <w:sz w:val="28"/>
        <w:szCs w:val="28"/>
      </w:rPr>
    </w:pPr>
    <w:r>
      <w:rPr>
        <w:rStyle w:val="a6"/>
        <w:rFonts w:ascii="Times New Roman" w:hAnsi="Times New Roman" w:hint="eastAsia"/>
        <w:sz w:val="28"/>
        <w:szCs w:val="28"/>
      </w:rPr>
      <w:t>—</w:t>
    </w:r>
    <w:r>
      <w:rPr>
        <w:rStyle w:val="a6"/>
        <w:rFonts w:ascii="Times New Roman" w:hAnsi="Times New Roman" w:hint="eastAsia"/>
        <w:sz w:val="28"/>
        <w:szCs w:val="28"/>
      </w:rPr>
      <w:t xml:space="preserve"> </w:t>
    </w:r>
    <w:r w:rsidR="00ED43A0" w:rsidRPr="007512A0">
      <w:rPr>
        <w:rStyle w:val="a6"/>
        <w:rFonts w:ascii="Times New Roman" w:hAnsi="Times New Roman"/>
        <w:sz w:val="28"/>
        <w:szCs w:val="28"/>
      </w:rPr>
      <w:fldChar w:fldCharType="begin"/>
    </w:r>
    <w:r w:rsidRPr="007512A0">
      <w:rPr>
        <w:rStyle w:val="a6"/>
        <w:rFonts w:ascii="Times New Roman" w:hAnsi="Times New Roman"/>
        <w:sz w:val="28"/>
        <w:szCs w:val="28"/>
      </w:rPr>
      <w:instrText xml:space="preserve">PAGE  </w:instrText>
    </w:r>
    <w:r w:rsidR="00ED43A0" w:rsidRPr="007512A0">
      <w:rPr>
        <w:rStyle w:val="a6"/>
        <w:rFonts w:ascii="Times New Roman" w:hAnsi="Times New Roman"/>
        <w:sz w:val="28"/>
        <w:szCs w:val="28"/>
      </w:rPr>
      <w:fldChar w:fldCharType="separate"/>
    </w:r>
    <w:r w:rsidR="00091FC9">
      <w:rPr>
        <w:rStyle w:val="a6"/>
        <w:rFonts w:ascii="Times New Roman" w:hAnsi="Times New Roman"/>
        <w:noProof/>
        <w:sz w:val="28"/>
        <w:szCs w:val="28"/>
      </w:rPr>
      <w:t>1</w:t>
    </w:r>
    <w:r w:rsidR="00ED43A0" w:rsidRPr="007512A0">
      <w:rPr>
        <w:rStyle w:val="a6"/>
        <w:rFonts w:ascii="Times New Roman" w:hAnsi="Times New Roman"/>
        <w:sz w:val="28"/>
        <w:szCs w:val="28"/>
      </w:rPr>
      <w:fldChar w:fldCharType="end"/>
    </w:r>
    <w:r>
      <w:rPr>
        <w:rStyle w:val="a6"/>
        <w:rFonts w:ascii="Times New Roman" w:hAnsi="Times New Roman" w:hint="eastAsia"/>
        <w:sz w:val="28"/>
        <w:szCs w:val="28"/>
      </w:rPr>
      <w:t xml:space="preserve"> </w:t>
    </w:r>
    <w:r>
      <w:rPr>
        <w:rStyle w:val="a6"/>
        <w:rFonts w:ascii="Times New Roman" w:hAnsi="Times New Roman" w:hint="eastAsia"/>
        <w:sz w:val="28"/>
        <w:szCs w:val="28"/>
      </w:rPr>
      <w:t>—</w:t>
    </w:r>
  </w:p>
  <w:p w:rsidR="00C80064" w:rsidRPr="007512A0" w:rsidRDefault="00091FC9" w:rsidP="00C8006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FD" w:rsidRDefault="002D7CFD" w:rsidP="00034D5B">
      <w:r>
        <w:separator/>
      </w:r>
    </w:p>
  </w:footnote>
  <w:footnote w:type="continuationSeparator" w:id="1">
    <w:p w:rsidR="002D7CFD" w:rsidRDefault="002D7CFD" w:rsidP="00034D5B">
      <w:r>
        <w:continuationSeparator/>
      </w:r>
    </w:p>
  </w:footnote>
  <w:footnote w:id="2">
    <w:p w:rsidR="00475760" w:rsidRPr="001E347D" w:rsidRDefault="00475760" w:rsidP="00475760">
      <w:pPr>
        <w:pStyle w:val="a7"/>
        <w:spacing w:line="200" w:lineRule="exact"/>
        <w:rPr>
          <w:rFonts w:ascii="宋体" w:eastAsia="宋体" w:hAnsi="宋体"/>
          <w:lang w:eastAsia="zh-CN"/>
        </w:rPr>
      </w:pPr>
      <w:r w:rsidRPr="001E347D">
        <w:rPr>
          <w:rStyle w:val="a8"/>
          <w:rFonts w:ascii="宋体" w:eastAsia="宋体" w:hAnsi="宋体"/>
        </w:rPr>
        <w:footnoteRef/>
      </w:r>
      <w:r w:rsidRPr="001E347D">
        <w:rPr>
          <w:rFonts w:ascii="宋体" w:eastAsia="宋体" w:hAnsi="宋体"/>
        </w:rPr>
        <w:t xml:space="preserve"> </w:t>
      </w:r>
      <w:r w:rsidRPr="001E347D">
        <w:rPr>
          <w:rFonts w:ascii="宋体" w:eastAsia="宋体" w:hAnsi="宋体" w:hint="eastAsia"/>
          <w:lang w:eastAsia="zh-CN"/>
        </w:rPr>
        <w:t>汇率风险敞口=期初外币余额+预计当期外币流入-预计当期外币流出，是企业一定期间受汇率变化影响可能产生损失的不平衡的外币头寸。</w:t>
      </w:r>
    </w:p>
  </w:footnote>
  <w:footnote w:id="3">
    <w:p w:rsidR="00475760" w:rsidRPr="001E347D" w:rsidRDefault="00475760" w:rsidP="00475760">
      <w:pPr>
        <w:pStyle w:val="a7"/>
        <w:spacing w:line="200" w:lineRule="exact"/>
        <w:rPr>
          <w:rFonts w:ascii="宋体" w:eastAsia="宋体" w:hAnsi="宋体"/>
          <w:lang w:eastAsia="zh-CN"/>
        </w:rPr>
      </w:pPr>
      <w:r w:rsidRPr="001E347D">
        <w:rPr>
          <w:rStyle w:val="a8"/>
          <w:rFonts w:ascii="宋体" w:eastAsia="宋体" w:hAnsi="宋体"/>
        </w:rPr>
        <w:footnoteRef/>
      </w:r>
      <w:r w:rsidRPr="001E347D">
        <w:rPr>
          <w:rFonts w:ascii="宋体" w:eastAsia="宋体" w:hAnsi="宋体"/>
        </w:rPr>
        <w:t xml:space="preserve"> </w:t>
      </w:r>
      <w:r w:rsidRPr="001E347D">
        <w:rPr>
          <w:rFonts w:ascii="宋体" w:eastAsia="宋体" w:hAnsi="宋体" w:hint="eastAsia"/>
          <w:lang w:eastAsia="zh-CN"/>
        </w:rPr>
        <w:t>汇率风险价值是净敞口、汇率波动和时间区间的函数，其含义是</w:t>
      </w:r>
      <w:r w:rsidRPr="001E347D">
        <w:rPr>
          <w:rFonts w:ascii="宋体" w:eastAsia="宋体" w:hAnsi="宋体"/>
          <w:lang w:eastAsia="zh-CN"/>
        </w:rPr>
        <w:t>95%</w:t>
      </w:r>
      <w:r w:rsidRPr="001E347D">
        <w:rPr>
          <w:rFonts w:ascii="宋体" w:eastAsia="宋体" w:hAnsi="宋体" w:hint="eastAsia"/>
          <w:lang w:eastAsia="zh-CN"/>
        </w:rPr>
        <w:t>置信水平下，在特定时间范围内，由于汇率波动（</w:t>
      </w:r>
      <w:proofErr w:type="gramStart"/>
      <w:r w:rsidRPr="001E347D">
        <w:rPr>
          <w:rFonts w:ascii="宋体" w:eastAsia="宋体" w:hAnsi="宋体" w:hint="eastAsia"/>
          <w:lang w:eastAsia="zh-CN"/>
        </w:rPr>
        <w:t>取年化历史汇率</w:t>
      </w:r>
      <w:proofErr w:type="gramEnd"/>
      <w:r w:rsidRPr="001E347D">
        <w:rPr>
          <w:rFonts w:ascii="宋体" w:eastAsia="宋体" w:hAnsi="宋体" w:hint="eastAsia"/>
          <w:lang w:eastAsia="zh-CN"/>
        </w:rPr>
        <w:t>波动，是以历史数据滚动计算的量化的</w:t>
      </w:r>
      <w:proofErr w:type="gramStart"/>
      <w:r w:rsidRPr="001E347D">
        <w:rPr>
          <w:rFonts w:ascii="宋体" w:eastAsia="宋体" w:hAnsi="宋体" w:hint="eastAsia"/>
          <w:lang w:eastAsia="zh-CN"/>
        </w:rPr>
        <w:t>特定货币</w:t>
      </w:r>
      <w:proofErr w:type="gramEnd"/>
      <w:r w:rsidRPr="001E347D">
        <w:rPr>
          <w:rFonts w:ascii="宋体" w:eastAsia="宋体" w:hAnsi="宋体" w:hint="eastAsia"/>
          <w:lang w:eastAsia="zh-CN"/>
        </w:rPr>
        <w:t>对汇率波动幅度（即标准差），作为未来汇率波动的估计）所导致的最大预期损失的数值（即有</w:t>
      </w:r>
      <w:r w:rsidRPr="001E347D">
        <w:rPr>
          <w:rFonts w:ascii="宋体" w:eastAsia="宋体" w:hAnsi="宋体"/>
          <w:lang w:eastAsia="zh-CN"/>
        </w:rPr>
        <w:t>5%</w:t>
      </w:r>
      <w:r w:rsidRPr="001E347D">
        <w:rPr>
          <w:rFonts w:ascii="宋体" w:eastAsia="宋体" w:hAnsi="宋体" w:hint="eastAsia"/>
          <w:lang w:eastAsia="zh-CN"/>
        </w:rPr>
        <w:t>的概率，汇率损失超过该数值），以对应货币单位表示。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4B2"/>
    <w:rsid w:val="000051D5"/>
    <w:rsid w:val="00034D5B"/>
    <w:rsid w:val="00076BFD"/>
    <w:rsid w:val="00091FC9"/>
    <w:rsid w:val="00141E2D"/>
    <w:rsid w:val="001A711F"/>
    <w:rsid w:val="001E347D"/>
    <w:rsid w:val="002246A0"/>
    <w:rsid w:val="00262C54"/>
    <w:rsid w:val="00295DAC"/>
    <w:rsid w:val="002D53F7"/>
    <w:rsid w:val="002D7CFD"/>
    <w:rsid w:val="003B0071"/>
    <w:rsid w:val="004609B1"/>
    <w:rsid w:val="00460A91"/>
    <w:rsid w:val="00466DAC"/>
    <w:rsid w:val="00475760"/>
    <w:rsid w:val="004E7A72"/>
    <w:rsid w:val="005A11C6"/>
    <w:rsid w:val="005C2BD5"/>
    <w:rsid w:val="005E7E9D"/>
    <w:rsid w:val="00664430"/>
    <w:rsid w:val="007D327F"/>
    <w:rsid w:val="007D63DE"/>
    <w:rsid w:val="00852F94"/>
    <w:rsid w:val="008D2878"/>
    <w:rsid w:val="00941BFF"/>
    <w:rsid w:val="00A0539A"/>
    <w:rsid w:val="00A30E7B"/>
    <w:rsid w:val="00AC0DDD"/>
    <w:rsid w:val="00AE3C16"/>
    <w:rsid w:val="00B004B2"/>
    <w:rsid w:val="00B13439"/>
    <w:rsid w:val="00B33346"/>
    <w:rsid w:val="00B4164D"/>
    <w:rsid w:val="00B52F91"/>
    <w:rsid w:val="00B92458"/>
    <w:rsid w:val="00BF4F9C"/>
    <w:rsid w:val="00C43215"/>
    <w:rsid w:val="00C5140F"/>
    <w:rsid w:val="00C74811"/>
    <w:rsid w:val="00C9507E"/>
    <w:rsid w:val="00CB22DB"/>
    <w:rsid w:val="00CE4466"/>
    <w:rsid w:val="00D10F45"/>
    <w:rsid w:val="00D50361"/>
    <w:rsid w:val="00D61652"/>
    <w:rsid w:val="00D860AB"/>
    <w:rsid w:val="00DE60EB"/>
    <w:rsid w:val="00ED43A0"/>
    <w:rsid w:val="00F35566"/>
    <w:rsid w:val="00F441D1"/>
    <w:rsid w:val="00F44DF7"/>
    <w:rsid w:val="00F9382C"/>
    <w:rsid w:val="00FB7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4B2"/>
    <w:rPr>
      <w:sz w:val="18"/>
      <w:szCs w:val="18"/>
    </w:rPr>
  </w:style>
  <w:style w:type="character" w:customStyle="1" w:styleId="Char">
    <w:name w:val="批注框文本 Char"/>
    <w:basedOn w:val="a0"/>
    <w:link w:val="a3"/>
    <w:uiPriority w:val="99"/>
    <w:semiHidden/>
    <w:rsid w:val="00B004B2"/>
    <w:rPr>
      <w:sz w:val="18"/>
      <w:szCs w:val="18"/>
    </w:rPr>
  </w:style>
  <w:style w:type="paragraph" w:styleId="a4">
    <w:name w:val="header"/>
    <w:basedOn w:val="a"/>
    <w:link w:val="Char0"/>
    <w:uiPriority w:val="99"/>
    <w:semiHidden/>
    <w:unhideWhenUsed/>
    <w:rsid w:val="00034D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034D5B"/>
    <w:rPr>
      <w:sz w:val="18"/>
      <w:szCs w:val="18"/>
    </w:rPr>
  </w:style>
  <w:style w:type="paragraph" w:styleId="a5">
    <w:name w:val="footer"/>
    <w:basedOn w:val="a"/>
    <w:link w:val="Char1"/>
    <w:unhideWhenUsed/>
    <w:rsid w:val="00034D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rsid w:val="00034D5B"/>
    <w:rPr>
      <w:sz w:val="18"/>
      <w:szCs w:val="18"/>
    </w:rPr>
  </w:style>
  <w:style w:type="character" w:styleId="a6">
    <w:name w:val="page number"/>
    <w:basedOn w:val="a0"/>
    <w:rsid w:val="00295DAC"/>
  </w:style>
  <w:style w:type="paragraph" w:styleId="a7">
    <w:name w:val="footnote text"/>
    <w:basedOn w:val="a"/>
    <w:link w:val="Char2"/>
    <w:semiHidden/>
    <w:rsid w:val="00295DAC"/>
    <w:pPr>
      <w:widowControl/>
      <w:jc w:val="left"/>
    </w:pPr>
    <w:rPr>
      <w:rFonts w:ascii="Arial" w:eastAsia="MS Mincho" w:hAnsi="Arial"/>
      <w:kern w:val="0"/>
      <w:sz w:val="16"/>
      <w:szCs w:val="20"/>
      <w:lang w:val="en-GB" w:eastAsia="ja-JP"/>
    </w:rPr>
  </w:style>
  <w:style w:type="character" w:customStyle="1" w:styleId="Char2">
    <w:name w:val="脚注文本 Char"/>
    <w:basedOn w:val="a0"/>
    <w:link w:val="a7"/>
    <w:semiHidden/>
    <w:rsid w:val="00295DAC"/>
    <w:rPr>
      <w:rFonts w:ascii="Arial" w:eastAsia="MS Mincho" w:hAnsi="Arial" w:cs="Times New Roman"/>
      <w:kern w:val="0"/>
      <w:sz w:val="16"/>
      <w:szCs w:val="20"/>
      <w:lang w:val="en-GB" w:eastAsia="ja-JP"/>
    </w:rPr>
  </w:style>
  <w:style w:type="character" w:styleId="a8">
    <w:name w:val="footnote reference"/>
    <w:basedOn w:val="a0"/>
    <w:semiHidden/>
    <w:rsid w:val="00295D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Zhangcz</dc:creator>
  <cp:keywords/>
  <dc:description/>
  <cp:lastModifiedBy>Blemish</cp:lastModifiedBy>
  <cp:revision>34</cp:revision>
  <dcterms:created xsi:type="dcterms:W3CDTF">2011-04-27T12:07:00Z</dcterms:created>
  <dcterms:modified xsi:type="dcterms:W3CDTF">2011-06-03T08:55:00Z</dcterms:modified>
</cp:coreProperties>
</file>