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A8" w:rsidRPr="004771C0" w:rsidRDefault="009C79A8" w:rsidP="004771C0">
      <w:pPr>
        <w:widowControl w:val="0"/>
        <w:suppressLineNumbers/>
        <w:spacing w:line="240" w:lineRule="exact"/>
        <w:ind w:left="0" w:firstLine="0"/>
        <w:rPr>
          <w:rFonts w:ascii="Swis721 Lt BT" w:hAnsi="Swis721 Lt BT" w:cs="Arial"/>
          <w:snapToGrid w:val="0"/>
          <w:sz w:val="15"/>
          <w:szCs w:val="15"/>
        </w:rPr>
      </w:pPr>
    </w:p>
    <w:p w:rsidR="00943AA1" w:rsidRPr="00C77523" w:rsidRDefault="00943AA1" w:rsidP="00331E5A">
      <w:pPr>
        <w:pStyle w:val="Titel"/>
        <w:spacing w:after="0" w:line="240" w:lineRule="exact"/>
        <w:ind w:left="0" w:firstLine="0"/>
        <w:rPr>
          <w:rFonts w:ascii="Swis721 Md BT" w:hAnsi="Swis721 Md BT"/>
          <w:b/>
          <w:sz w:val="26"/>
          <w:szCs w:val="26"/>
        </w:rPr>
      </w:pPr>
      <w:r w:rsidRPr="00C77523">
        <w:rPr>
          <w:rFonts w:ascii="Swis721 Md BT" w:hAnsi="Swis721 Md BT"/>
          <w:b/>
          <w:sz w:val="26"/>
          <w:szCs w:val="26"/>
        </w:rPr>
        <w:t xml:space="preserve">Fondsbestimmungen gemäß </w:t>
      </w:r>
      <w:proofErr w:type="spellStart"/>
      <w:r w:rsidRPr="00C77523">
        <w:rPr>
          <w:rFonts w:ascii="Swis721 Md BT" w:hAnsi="Swis721 Md BT"/>
          <w:b/>
          <w:sz w:val="26"/>
          <w:szCs w:val="26"/>
        </w:rPr>
        <w:t>InvFG</w:t>
      </w:r>
      <w:proofErr w:type="spellEnd"/>
      <w:r w:rsidR="004A7ECA" w:rsidRPr="00C77523">
        <w:rPr>
          <w:rFonts w:ascii="Swis721 Md BT" w:hAnsi="Swis721 Md BT"/>
          <w:b/>
          <w:sz w:val="26"/>
          <w:szCs w:val="26"/>
        </w:rPr>
        <w:t xml:space="preserve"> </w:t>
      </w:r>
      <w:r w:rsidRPr="00C77523">
        <w:rPr>
          <w:rFonts w:ascii="Swis721 Md BT" w:hAnsi="Swis721 Md BT"/>
          <w:b/>
          <w:sz w:val="26"/>
          <w:szCs w:val="26"/>
        </w:rPr>
        <w:t>2011</w:t>
      </w:r>
    </w:p>
    <w:p w:rsidR="00943AA1" w:rsidRPr="004771C0" w:rsidRDefault="00943AA1" w:rsidP="004771C0">
      <w:pPr>
        <w:widowControl w:val="0"/>
        <w:suppressLineNumbers/>
        <w:spacing w:line="240" w:lineRule="exact"/>
        <w:ind w:left="0" w:firstLine="0"/>
        <w:rPr>
          <w:rFonts w:ascii="Swis721 Lt BT" w:hAnsi="Swis721 Lt BT" w:cs="Arial"/>
          <w:snapToGrid w:val="0"/>
          <w:sz w:val="15"/>
          <w:szCs w:val="15"/>
        </w:rPr>
      </w:pPr>
    </w:p>
    <w:p w:rsidR="00943AA1" w:rsidRPr="006E0EB0" w:rsidRDefault="00943AA1" w:rsidP="00331E5A">
      <w:pPr>
        <w:spacing w:line="240" w:lineRule="exact"/>
        <w:ind w:left="0" w:firstLine="0"/>
        <w:rPr>
          <w:rFonts w:ascii="Swis721 Lt BT" w:hAnsi="Swis721 Lt BT" w:cs="Arial"/>
          <w:sz w:val="15"/>
          <w:szCs w:val="15"/>
        </w:rPr>
      </w:pPr>
      <w:r w:rsidRPr="006E0EB0">
        <w:rPr>
          <w:rFonts w:ascii="Swis721 Lt BT" w:hAnsi="Swis721 Lt BT" w:cs="Arial"/>
          <w:sz w:val="15"/>
          <w:szCs w:val="15"/>
        </w:rPr>
        <w:t xml:space="preserve">Die Fondsbestimmungen für den Investmentfonds </w:t>
      </w:r>
      <w:r w:rsidR="00DE206C">
        <w:rPr>
          <w:rFonts w:ascii="Swis721 Lt BT" w:hAnsi="Swis721 Lt BT" w:cs="Arial"/>
          <w:b/>
          <w:sz w:val="15"/>
          <w:szCs w:val="15"/>
        </w:rPr>
        <w:t>Raiffeisen-</w:t>
      </w:r>
      <w:proofErr w:type="spellStart"/>
      <w:r w:rsidR="00DE206C">
        <w:rPr>
          <w:rFonts w:ascii="Swis721 Lt BT" w:hAnsi="Swis721 Lt BT" w:cs="Arial"/>
          <w:b/>
          <w:sz w:val="15"/>
          <w:szCs w:val="15"/>
        </w:rPr>
        <w:t>EuroPlus</w:t>
      </w:r>
      <w:proofErr w:type="spellEnd"/>
      <w:r w:rsidR="00DE206C">
        <w:rPr>
          <w:rFonts w:ascii="Swis721 Lt BT" w:hAnsi="Swis721 Lt BT" w:cs="Arial"/>
          <w:b/>
          <w:sz w:val="15"/>
          <w:szCs w:val="15"/>
        </w:rPr>
        <w:t>-</w:t>
      </w:r>
      <w:proofErr w:type="spellStart"/>
      <w:r w:rsidR="00DE206C">
        <w:rPr>
          <w:rFonts w:ascii="Swis721 Lt BT" w:hAnsi="Swis721 Lt BT" w:cs="Arial"/>
          <w:b/>
          <w:sz w:val="15"/>
          <w:szCs w:val="15"/>
        </w:rPr>
        <w:t>Rent</w:t>
      </w:r>
      <w:proofErr w:type="spellEnd"/>
      <w:r w:rsidRPr="006E0EB0">
        <w:rPr>
          <w:rFonts w:ascii="Swis721 Lt BT" w:hAnsi="Swis721 Lt BT" w:cs="Arial"/>
          <w:sz w:val="15"/>
          <w:szCs w:val="15"/>
        </w:rPr>
        <w:t xml:space="preserve">, Miteigentumsfonds gemäß </w:t>
      </w:r>
      <w:r w:rsidR="005A375C" w:rsidRPr="00301CCE">
        <w:rPr>
          <w:rFonts w:ascii="Swis721 Lt BT" w:hAnsi="Swis721 Lt BT" w:cs="Arial"/>
          <w:b/>
          <w:sz w:val="15"/>
          <w:szCs w:val="15"/>
        </w:rPr>
        <w:t xml:space="preserve">Investmentfondsgesetz 2011 </w:t>
      </w:r>
      <w:proofErr w:type="spellStart"/>
      <w:r w:rsidR="005A375C" w:rsidRPr="00301CCE">
        <w:rPr>
          <w:rFonts w:ascii="Swis721 Lt BT" w:hAnsi="Swis721 Lt BT" w:cs="Arial"/>
          <w:b/>
          <w:sz w:val="15"/>
          <w:szCs w:val="15"/>
        </w:rPr>
        <w:t>idgF</w:t>
      </w:r>
      <w:proofErr w:type="spellEnd"/>
      <w:r w:rsidR="005A375C" w:rsidRPr="00301CCE">
        <w:rPr>
          <w:rFonts w:ascii="Swis721 Lt BT" w:hAnsi="Swis721 Lt BT" w:cs="Arial"/>
          <w:b/>
          <w:sz w:val="15"/>
          <w:szCs w:val="15"/>
        </w:rPr>
        <w:t xml:space="preserve"> </w:t>
      </w:r>
      <w:r w:rsidR="005A375C" w:rsidRPr="00B324EE">
        <w:rPr>
          <w:rFonts w:ascii="Swis721 Lt BT" w:hAnsi="Swis721 Lt BT" w:cs="Arial"/>
          <w:sz w:val="15"/>
          <w:szCs w:val="15"/>
        </w:rPr>
        <w:t>(</w:t>
      </w:r>
      <w:proofErr w:type="spellStart"/>
      <w:r w:rsidR="005A375C" w:rsidRPr="00B324EE">
        <w:rPr>
          <w:rFonts w:ascii="Swis721 Lt BT" w:hAnsi="Swis721 Lt BT" w:cs="Arial"/>
          <w:sz w:val="15"/>
          <w:szCs w:val="15"/>
        </w:rPr>
        <w:t>InvFG</w:t>
      </w:r>
      <w:proofErr w:type="spellEnd"/>
      <w:r w:rsidR="005A375C" w:rsidRPr="00B324EE">
        <w:rPr>
          <w:rFonts w:ascii="Swis721 Lt BT" w:hAnsi="Swis721 Lt BT" w:cs="Arial"/>
          <w:sz w:val="15"/>
          <w:szCs w:val="15"/>
        </w:rPr>
        <w:t>),</w:t>
      </w:r>
      <w:r w:rsidR="005A375C">
        <w:rPr>
          <w:rFonts w:ascii="Swis721 Lt BT" w:hAnsi="Swis721 Lt BT" w:cs="Arial"/>
          <w:b/>
          <w:sz w:val="15"/>
          <w:szCs w:val="15"/>
        </w:rPr>
        <w:t xml:space="preserve"> </w:t>
      </w:r>
      <w:r w:rsidRPr="006E0EB0">
        <w:rPr>
          <w:rFonts w:ascii="Swis721 Lt BT" w:hAnsi="Swis721 Lt BT" w:cs="Arial"/>
          <w:sz w:val="15"/>
          <w:szCs w:val="15"/>
        </w:rPr>
        <w:t>wurden von der Finanzmarktaufsicht (FMA) genehmigt.</w:t>
      </w:r>
    </w:p>
    <w:p w:rsidR="009C79A8" w:rsidRDefault="009C79A8" w:rsidP="00331E5A">
      <w:pPr>
        <w:spacing w:line="240" w:lineRule="exact"/>
        <w:ind w:left="0" w:firstLine="0"/>
        <w:rPr>
          <w:rFonts w:ascii="Swis721 Lt BT" w:hAnsi="Swis721 Lt BT" w:cs="Arial"/>
          <w:sz w:val="15"/>
          <w:szCs w:val="15"/>
        </w:rPr>
      </w:pPr>
    </w:p>
    <w:p w:rsidR="005A375C" w:rsidRPr="006E0EB0" w:rsidRDefault="005A375C" w:rsidP="005A375C">
      <w:pPr>
        <w:spacing w:line="240" w:lineRule="exact"/>
        <w:ind w:left="0" w:firstLine="0"/>
        <w:rPr>
          <w:rFonts w:ascii="Swis721 Lt BT" w:hAnsi="Swis721 Lt BT" w:cs="Arial"/>
          <w:sz w:val="15"/>
          <w:szCs w:val="15"/>
        </w:rPr>
      </w:pPr>
      <w:r w:rsidRPr="00B324EE">
        <w:rPr>
          <w:rFonts w:ascii="Swis721 Lt BT" w:hAnsi="Swis721 Lt BT" w:cs="Arial"/>
          <w:sz w:val="15"/>
          <w:szCs w:val="15"/>
        </w:rPr>
        <w:t xml:space="preserve">Der Investmentfonds ist ein Organismus zur gemeinsamen Veranlagung in Wertpapieren (OGAW) </w:t>
      </w:r>
      <w:r w:rsidRPr="006E0EB0">
        <w:rPr>
          <w:rFonts w:ascii="Swis721 Lt BT" w:hAnsi="Swis721 Lt BT" w:cs="Arial"/>
          <w:sz w:val="15"/>
          <w:szCs w:val="15"/>
        </w:rPr>
        <w:t>und wird von der Raiffeisen</w:t>
      </w:r>
      <w:r>
        <w:rPr>
          <w:rFonts w:ascii="Swis721 Lt BT" w:hAnsi="Swis721 Lt BT" w:cs="Arial"/>
          <w:sz w:val="15"/>
          <w:szCs w:val="15"/>
        </w:rPr>
        <w:t> </w:t>
      </w:r>
      <w:r w:rsidRPr="006E0EB0">
        <w:rPr>
          <w:rFonts w:ascii="Swis721 Lt BT" w:hAnsi="Swis721 Lt BT" w:cs="Arial"/>
          <w:sz w:val="15"/>
          <w:szCs w:val="15"/>
        </w:rPr>
        <w:t>Kapitalanlage</w:t>
      </w:r>
      <w:r>
        <w:rPr>
          <w:rFonts w:ascii="Swis721 Lt BT" w:hAnsi="Swis721 Lt BT" w:cs="Arial"/>
          <w:sz w:val="15"/>
          <w:szCs w:val="15"/>
        </w:rPr>
        <w:t>-</w:t>
      </w:r>
      <w:r w:rsidRPr="006E0EB0">
        <w:rPr>
          <w:rFonts w:ascii="Swis721 Lt BT" w:hAnsi="Swis721 Lt BT" w:cs="Arial"/>
          <w:sz w:val="15"/>
          <w:szCs w:val="15"/>
        </w:rPr>
        <w:t>Gesellschaft</w:t>
      </w:r>
      <w:r>
        <w:rPr>
          <w:rFonts w:ascii="Swis721 Lt BT" w:hAnsi="Swis721 Lt BT" w:cs="Arial"/>
          <w:sz w:val="15"/>
          <w:szCs w:val="15"/>
        </w:rPr>
        <w:t> </w:t>
      </w:r>
      <w:proofErr w:type="spellStart"/>
      <w:r w:rsidRPr="006E0EB0">
        <w:rPr>
          <w:rFonts w:ascii="Swis721 Lt BT" w:hAnsi="Swis721 Lt BT" w:cs="Arial"/>
          <w:sz w:val="15"/>
          <w:szCs w:val="15"/>
        </w:rPr>
        <w:t>m.b.H</w:t>
      </w:r>
      <w:proofErr w:type="spellEnd"/>
      <w:r w:rsidRPr="006E0EB0">
        <w:rPr>
          <w:rFonts w:ascii="Swis721 Lt BT" w:hAnsi="Swis721 Lt BT" w:cs="Arial"/>
          <w:sz w:val="15"/>
          <w:szCs w:val="15"/>
        </w:rPr>
        <w:t>. (nachstehend „Verwaltungsgesellschaft“ genannt) mit Sitz in Wien verwaltet.</w:t>
      </w:r>
    </w:p>
    <w:p w:rsidR="005A375C" w:rsidRDefault="005A375C" w:rsidP="00331E5A">
      <w:pPr>
        <w:widowControl w:val="0"/>
        <w:suppressLineNumbers/>
        <w:spacing w:line="240" w:lineRule="exact"/>
        <w:ind w:left="0" w:firstLine="0"/>
        <w:rPr>
          <w:rFonts w:ascii="Swis721 Lt BT" w:hAnsi="Swis721 Lt BT" w:cs="Arial"/>
          <w:snapToGrid w:val="0"/>
          <w:sz w:val="15"/>
          <w:szCs w:val="15"/>
        </w:rPr>
      </w:pPr>
    </w:p>
    <w:p w:rsidR="003C3ED3" w:rsidRDefault="003C3ED3" w:rsidP="00331E5A">
      <w:pPr>
        <w:widowControl w:val="0"/>
        <w:suppressLineNumbers/>
        <w:spacing w:line="240" w:lineRule="exact"/>
        <w:ind w:left="0" w:firstLine="0"/>
        <w:rPr>
          <w:rFonts w:ascii="Swis721 Lt BT" w:hAnsi="Swis721 Lt BT" w:cs="Arial"/>
          <w:snapToGrid w:val="0"/>
          <w:sz w:val="15"/>
          <w:szCs w:val="15"/>
        </w:rPr>
      </w:pPr>
    </w:p>
    <w:p w:rsidR="00A4124A" w:rsidRPr="004771C0" w:rsidRDefault="006E0EB0" w:rsidP="00331E5A">
      <w:pPr>
        <w:widowControl w:val="0"/>
        <w:suppressLineNumbers/>
        <w:spacing w:line="240" w:lineRule="exact"/>
        <w:ind w:left="0" w:firstLine="0"/>
        <w:rPr>
          <w:rFonts w:ascii="Swis721 Md BT" w:hAnsi="Swis721 Md BT" w:cs="Arial"/>
          <w:b/>
          <w:snapToGrid w:val="0"/>
          <w:sz w:val="20"/>
          <w:szCs w:val="20"/>
        </w:rPr>
      </w:pPr>
      <w:r w:rsidRPr="004771C0">
        <w:rPr>
          <w:rFonts w:ascii="Swis721 Md BT" w:hAnsi="Swis721 Md BT" w:cs="Arial"/>
          <w:b/>
          <w:snapToGrid w:val="0"/>
          <w:sz w:val="20"/>
          <w:szCs w:val="20"/>
        </w:rPr>
        <w:t>Artikel 1</w:t>
      </w:r>
      <w:r w:rsidRPr="004771C0">
        <w:rPr>
          <w:rFonts w:ascii="Swis721 Md BT" w:hAnsi="Swis721 Md BT" w:cs="Arial"/>
          <w:b/>
          <w:snapToGrid w:val="0"/>
          <w:sz w:val="20"/>
          <w:szCs w:val="20"/>
        </w:rPr>
        <w:tab/>
        <w:t>Miteigentumsanteile</w:t>
      </w:r>
    </w:p>
    <w:p w:rsidR="00CE5502" w:rsidRDefault="00CE5502" w:rsidP="00331E5A">
      <w:pPr>
        <w:widowControl w:val="0"/>
        <w:suppressLineNumbers/>
        <w:spacing w:line="240" w:lineRule="exact"/>
        <w:ind w:left="0" w:firstLine="0"/>
        <w:rPr>
          <w:rFonts w:ascii="Swis721 Lt BT" w:hAnsi="Swis721 Lt BT" w:cs="Arial"/>
          <w:snapToGrid w:val="0"/>
          <w:sz w:val="15"/>
          <w:szCs w:val="15"/>
        </w:rPr>
      </w:pPr>
    </w:p>
    <w:p w:rsidR="00943AA1" w:rsidRPr="006E0EB0" w:rsidRDefault="00943AA1" w:rsidP="00331E5A">
      <w:pPr>
        <w:widowControl w:val="0"/>
        <w:suppressLineNumbers/>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Die Miteigentumsanteile werden durch Anteilscheine (Zertifikate) mit Wertpapiercharakter verkörpert, die auf Inhaber lauten.</w:t>
      </w:r>
    </w:p>
    <w:p w:rsidR="00943AA1" w:rsidRPr="006E0EB0" w:rsidRDefault="00943AA1" w:rsidP="00331E5A">
      <w:pPr>
        <w:widowControl w:val="0"/>
        <w:suppressLineNumbers/>
        <w:spacing w:line="240" w:lineRule="exact"/>
        <w:ind w:left="0" w:firstLine="0"/>
        <w:rPr>
          <w:rFonts w:ascii="Swis721 Lt BT" w:hAnsi="Swis721 Lt BT" w:cs="Arial"/>
          <w:snapToGrid w:val="0"/>
          <w:sz w:val="15"/>
          <w:szCs w:val="15"/>
        </w:rPr>
      </w:pP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142447">
        <w:rPr>
          <w:rFonts w:ascii="Swis721 Lt BT" w:hAnsi="Swis721 Lt BT" w:cs="Arial"/>
          <w:snapToGrid w:val="0"/>
          <w:sz w:val="15"/>
          <w:szCs w:val="15"/>
        </w:rPr>
        <w:t xml:space="preserve">Die Anteilscheine werden in Sammelurkunden </w:t>
      </w:r>
      <w:r w:rsidR="00142447" w:rsidRPr="00142447">
        <w:rPr>
          <w:rFonts w:ascii="Swis721 Lt BT" w:hAnsi="Swis721 Lt BT" w:cs="Arial"/>
          <w:snapToGrid w:val="0"/>
          <w:sz w:val="15"/>
          <w:szCs w:val="15"/>
        </w:rPr>
        <w:t>je Anteilsgattung</w:t>
      </w:r>
      <w:r w:rsidR="000F0EBB" w:rsidRPr="00142447">
        <w:rPr>
          <w:rFonts w:ascii="Swis721 Lt BT" w:hAnsi="Swis721 Lt BT" w:cs="Arial"/>
          <w:snapToGrid w:val="0"/>
          <w:sz w:val="15"/>
          <w:szCs w:val="15"/>
        </w:rPr>
        <w:t xml:space="preserve"> </w:t>
      </w:r>
      <w:r w:rsidRPr="00142447">
        <w:rPr>
          <w:rFonts w:ascii="Swis721 Lt BT" w:hAnsi="Swis721 Lt BT" w:cs="Arial"/>
          <w:snapToGrid w:val="0"/>
          <w:sz w:val="15"/>
          <w:szCs w:val="15"/>
        </w:rPr>
        <w:t xml:space="preserve">und nach Ermessen der Verwaltungsgesellschaft in </w:t>
      </w:r>
      <w:r w:rsidR="00E97454" w:rsidRPr="00142447">
        <w:rPr>
          <w:rFonts w:ascii="Swis721 Lt BT" w:hAnsi="Swis721 Lt BT" w:cs="Arial"/>
          <w:snapToGrid w:val="0"/>
          <w:sz w:val="15"/>
          <w:szCs w:val="15"/>
        </w:rPr>
        <w:t>effektiven Stücken</w:t>
      </w:r>
      <w:r w:rsidR="00E97454" w:rsidRPr="009C79A8">
        <w:rPr>
          <w:rFonts w:ascii="Swis721 Lt BT" w:hAnsi="Swis721 Lt BT" w:cs="Arial"/>
          <w:snapToGrid w:val="0"/>
          <w:sz w:val="15"/>
          <w:szCs w:val="15"/>
        </w:rPr>
        <w:t xml:space="preserve"> dargestellt.</w:t>
      </w:r>
    </w:p>
    <w:p w:rsidR="00943AA1" w:rsidRDefault="00943AA1" w:rsidP="00331E5A">
      <w:pPr>
        <w:spacing w:line="240" w:lineRule="exact"/>
        <w:ind w:left="0" w:firstLine="0"/>
        <w:rPr>
          <w:rFonts w:ascii="Swis721 Lt BT" w:hAnsi="Swis721 Lt BT" w:cs="Arial"/>
          <w:snapToGrid w:val="0"/>
          <w:sz w:val="15"/>
          <w:szCs w:val="15"/>
        </w:rPr>
      </w:pPr>
    </w:p>
    <w:p w:rsidR="004771C0" w:rsidRPr="006E0EB0" w:rsidRDefault="004771C0" w:rsidP="00331E5A">
      <w:pPr>
        <w:spacing w:line="240" w:lineRule="exact"/>
        <w:ind w:left="0" w:firstLine="0"/>
        <w:rPr>
          <w:rFonts w:ascii="Swis721 Lt BT" w:hAnsi="Swis721 Lt BT" w:cs="Arial"/>
          <w:snapToGrid w:val="0"/>
          <w:sz w:val="15"/>
          <w:szCs w:val="15"/>
        </w:rPr>
      </w:pPr>
    </w:p>
    <w:p w:rsidR="00A4124A" w:rsidRPr="004771C0" w:rsidRDefault="006E0EB0" w:rsidP="00A4124A">
      <w:pPr>
        <w:widowControl w:val="0"/>
        <w:suppressLineNumbers/>
        <w:spacing w:line="240" w:lineRule="exact"/>
        <w:ind w:left="0" w:firstLine="0"/>
        <w:rPr>
          <w:rFonts w:ascii="Swis721 Md BT" w:hAnsi="Swis721 Md BT" w:cs="Arial"/>
          <w:b/>
          <w:snapToGrid w:val="0"/>
          <w:sz w:val="20"/>
          <w:szCs w:val="20"/>
        </w:rPr>
      </w:pPr>
      <w:r w:rsidRPr="004771C0">
        <w:rPr>
          <w:rFonts w:ascii="Swis721 Md BT" w:hAnsi="Swis721 Md BT" w:cs="Arial"/>
          <w:b/>
          <w:snapToGrid w:val="0"/>
          <w:sz w:val="20"/>
          <w:szCs w:val="20"/>
        </w:rPr>
        <w:t>Artikel 2</w:t>
      </w:r>
      <w:r w:rsidRPr="004771C0">
        <w:rPr>
          <w:rFonts w:ascii="Swis721 Md BT" w:hAnsi="Swis721 Md BT" w:cs="Arial"/>
          <w:b/>
          <w:snapToGrid w:val="0"/>
          <w:sz w:val="20"/>
          <w:szCs w:val="20"/>
        </w:rPr>
        <w:tab/>
        <w:t>Depotbank (Verwahrstelle)</w:t>
      </w:r>
    </w:p>
    <w:p w:rsidR="00CE5502" w:rsidRDefault="00CE5502" w:rsidP="00331E5A">
      <w:pPr>
        <w:spacing w:line="240" w:lineRule="exact"/>
        <w:ind w:left="0" w:firstLine="0"/>
        <w:rPr>
          <w:rFonts w:ascii="Swis721 Lt BT" w:hAnsi="Swis721 Lt BT" w:cs="Arial"/>
          <w:snapToGrid w:val="0"/>
          <w:sz w:val="15"/>
          <w:szCs w:val="15"/>
        </w:rPr>
      </w:pPr>
    </w:p>
    <w:p w:rsidR="00943AA1" w:rsidRPr="00331E5A" w:rsidRDefault="00943AA1" w:rsidP="00331E5A">
      <w:pPr>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Die für den Investmentfonds bestellte Dep</w:t>
      </w:r>
      <w:r w:rsidR="002A3997">
        <w:rPr>
          <w:rFonts w:ascii="Swis721 Lt BT" w:hAnsi="Swis721 Lt BT" w:cs="Arial"/>
          <w:snapToGrid w:val="0"/>
          <w:sz w:val="15"/>
          <w:szCs w:val="15"/>
        </w:rPr>
        <w:t>otbank (Verwahrstelle) ist die</w:t>
      </w:r>
      <w:r w:rsidR="0002145E">
        <w:rPr>
          <w:rFonts w:ascii="Swis721 Lt BT" w:hAnsi="Swis721 Lt BT" w:cs="Arial"/>
          <w:snapToGrid w:val="0"/>
          <w:sz w:val="15"/>
          <w:szCs w:val="15"/>
        </w:rPr>
        <w:t xml:space="preserve"> </w:t>
      </w:r>
      <w:r w:rsidR="00331E5A" w:rsidRPr="009C79A8">
        <w:rPr>
          <w:rFonts w:ascii="Swis721 Lt BT" w:hAnsi="Swis721 Lt BT"/>
          <w:sz w:val="15"/>
          <w:szCs w:val="15"/>
        </w:rPr>
        <w:t>Raiffeisen Bank International AG</w:t>
      </w:r>
      <w:r w:rsidR="00331E5A" w:rsidRPr="009C79A8">
        <w:rPr>
          <w:rFonts w:ascii="Swis721 Lt BT" w:hAnsi="Swis721 Lt BT" w:cs="Arial"/>
          <w:snapToGrid w:val="0"/>
          <w:sz w:val="15"/>
          <w:szCs w:val="15"/>
        </w:rPr>
        <w:t>, Wien</w:t>
      </w:r>
      <w:r w:rsidR="00331E5A" w:rsidRPr="009C79A8">
        <w:rPr>
          <w:rFonts w:ascii="Swis721 Lt BT" w:hAnsi="Swis721 Lt BT"/>
          <w:sz w:val="15"/>
          <w:szCs w:val="15"/>
        </w:rPr>
        <w:t>.</w:t>
      </w:r>
    </w:p>
    <w:p w:rsidR="00943AA1" w:rsidRPr="006E0EB0" w:rsidRDefault="00943AA1" w:rsidP="00331E5A">
      <w:pPr>
        <w:spacing w:line="240" w:lineRule="exact"/>
        <w:ind w:left="0" w:firstLine="0"/>
        <w:rPr>
          <w:rFonts w:ascii="Swis721 Lt BT" w:hAnsi="Swis721 Lt BT" w:cs="Arial"/>
          <w:sz w:val="15"/>
          <w:szCs w:val="15"/>
        </w:rPr>
      </w:pPr>
    </w:p>
    <w:p w:rsidR="00943AA1" w:rsidRPr="006E0EB0" w:rsidRDefault="00943AA1" w:rsidP="00331E5A">
      <w:pPr>
        <w:spacing w:line="240" w:lineRule="exact"/>
        <w:ind w:left="0" w:firstLine="0"/>
        <w:rPr>
          <w:rFonts w:ascii="Swis721 Lt BT" w:hAnsi="Swis721 Lt BT" w:cs="Arial"/>
          <w:sz w:val="15"/>
          <w:szCs w:val="15"/>
        </w:rPr>
      </w:pPr>
      <w:r w:rsidRPr="006E0EB0">
        <w:rPr>
          <w:rFonts w:ascii="Swis721 Lt BT" w:hAnsi="Swis721 Lt BT" w:cs="Arial"/>
          <w:sz w:val="15"/>
          <w:szCs w:val="15"/>
        </w:rPr>
        <w:t xml:space="preserve">Zahlstellen für Anteilscheine </w:t>
      </w:r>
      <w:r w:rsidRPr="00EC5276">
        <w:rPr>
          <w:rFonts w:ascii="Swis721 Lt BT" w:hAnsi="Swis721 Lt BT" w:cs="Arial"/>
          <w:sz w:val="15"/>
          <w:szCs w:val="15"/>
        </w:rPr>
        <w:t xml:space="preserve">und Einreichstellen für </w:t>
      </w:r>
      <w:proofErr w:type="spellStart"/>
      <w:r w:rsidRPr="00EC5276">
        <w:rPr>
          <w:rFonts w:ascii="Swis721 Lt BT" w:hAnsi="Swis721 Lt BT" w:cs="Arial"/>
          <w:sz w:val="15"/>
          <w:szCs w:val="15"/>
        </w:rPr>
        <w:t>Erträgnisscheine</w:t>
      </w:r>
      <w:proofErr w:type="spellEnd"/>
      <w:r w:rsidRPr="00EC5276">
        <w:rPr>
          <w:rFonts w:ascii="Swis721 Lt BT" w:hAnsi="Swis721 Lt BT" w:cs="Arial"/>
          <w:sz w:val="15"/>
          <w:szCs w:val="15"/>
        </w:rPr>
        <w:t xml:space="preserve"> (</w:t>
      </w:r>
      <w:r w:rsidRPr="00DE206C">
        <w:rPr>
          <w:rFonts w:ascii="Swis721 Lt BT" w:hAnsi="Swis721 Lt BT" w:cs="Arial"/>
          <w:sz w:val="15"/>
          <w:szCs w:val="15"/>
        </w:rPr>
        <w:t xml:space="preserve">effektive Stücke) </w:t>
      </w:r>
      <w:r w:rsidR="007E1BD8" w:rsidRPr="00DE206C">
        <w:rPr>
          <w:rFonts w:ascii="Swis721 Lt BT" w:hAnsi="Swis721 Lt BT" w:cs="Arial"/>
          <w:sz w:val="15"/>
          <w:szCs w:val="15"/>
        </w:rPr>
        <w:t xml:space="preserve">sind </w:t>
      </w:r>
      <w:r w:rsidRPr="00DE206C">
        <w:rPr>
          <w:rFonts w:ascii="Swis721 Lt BT" w:hAnsi="Swis721 Lt BT" w:cs="Arial"/>
          <w:sz w:val="15"/>
          <w:szCs w:val="15"/>
        </w:rPr>
        <w:t>die Depotbank (Verwahrstelle)</w:t>
      </w:r>
      <w:r w:rsidR="007E1BD8" w:rsidRPr="00DE206C">
        <w:rPr>
          <w:rFonts w:ascii="Swis721 Lt BT" w:hAnsi="Swis721 Lt BT" w:cs="Arial"/>
          <w:sz w:val="15"/>
          <w:szCs w:val="15"/>
        </w:rPr>
        <w:t xml:space="preserve">, die Raiffeisen Landesbanken und die </w:t>
      </w:r>
      <w:proofErr w:type="spellStart"/>
      <w:r w:rsidR="007E1BD8" w:rsidRPr="00DE206C">
        <w:rPr>
          <w:rFonts w:ascii="Swis721 Lt BT" w:hAnsi="Swis721 Lt BT" w:cs="Arial"/>
          <w:sz w:val="15"/>
          <w:szCs w:val="15"/>
        </w:rPr>
        <w:t>Kathrein</w:t>
      </w:r>
      <w:proofErr w:type="spellEnd"/>
      <w:r w:rsidR="007E1BD8" w:rsidRPr="00DE206C">
        <w:rPr>
          <w:rFonts w:ascii="Swis721 Lt BT" w:hAnsi="Swis721 Lt BT" w:cs="Arial"/>
          <w:sz w:val="15"/>
          <w:szCs w:val="15"/>
        </w:rPr>
        <w:t xml:space="preserve"> </w:t>
      </w:r>
      <w:r w:rsidR="009A3638" w:rsidRPr="00DE206C">
        <w:rPr>
          <w:rFonts w:ascii="Swis721 Lt BT" w:hAnsi="Swis721 Lt BT" w:cs="Arial"/>
          <w:sz w:val="15"/>
          <w:szCs w:val="15"/>
        </w:rPr>
        <w:t>Privatbank Aktiengesellschaft</w:t>
      </w:r>
      <w:r w:rsidR="007E1BD8" w:rsidRPr="00DE206C">
        <w:rPr>
          <w:rFonts w:ascii="Swis721 Lt BT" w:hAnsi="Swis721 Lt BT" w:cs="Arial"/>
          <w:sz w:val="15"/>
          <w:szCs w:val="15"/>
        </w:rPr>
        <w:t>, Wien</w:t>
      </w:r>
      <w:r w:rsidRPr="00DE206C">
        <w:rPr>
          <w:rFonts w:ascii="Swis721 Lt BT" w:hAnsi="Swis721 Lt BT" w:cs="Arial"/>
          <w:sz w:val="15"/>
          <w:szCs w:val="15"/>
        </w:rPr>
        <w:t xml:space="preserve"> oder son</w:t>
      </w:r>
      <w:r w:rsidRPr="006E0EB0">
        <w:rPr>
          <w:rFonts w:ascii="Swis721 Lt BT" w:hAnsi="Swis721 Lt BT" w:cs="Arial"/>
          <w:sz w:val="15"/>
          <w:szCs w:val="15"/>
        </w:rPr>
        <w:t>stige im</w:t>
      </w:r>
      <w:r w:rsidR="007E1BD8">
        <w:rPr>
          <w:rFonts w:ascii="Swis721 Lt BT" w:hAnsi="Swis721 Lt BT" w:cs="Arial"/>
          <w:sz w:val="15"/>
          <w:szCs w:val="15"/>
        </w:rPr>
        <w:t xml:space="preserve"> Prospekt genannte Zahlstellen.</w:t>
      </w:r>
    </w:p>
    <w:p w:rsidR="00943AA1" w:rsidRDefault="00943AA1" w:rsidP="00331E5A">
      <w:pPr>
        <w:spacing w:line="240" w:lineRule="exact"/>
        <w:ind w:left="0" w:firstLine="0"/>
        <w:rPr>
          <w:rFonts w:ascii="Swis721 Lt BT" w:hAnsi="Swis721 Lt BT" w:cs="Arial"/>
          <w:sz w:val="15"/>
          <w:szCs w:val="15"/>
        </w:rPr>
      </w:pPr>
    </w:p>
    <w:p w:rsidR="004771C0" w:rsidRPr="006E0EB0" w:rsidRDefault="004771C0" w:rsidP="00331E5A">
      <w:pPr>
        <w:spacing w:line="240" w:lineRule="exact"/>
        <w:ind w:left="0" w:firstLine="0"/>
        <w:rPr>
          <w:rFonts w:ascii="Swis721 Lt BT" w:hAnsi="Swis721 Lt BT" w:cs="Arial"/>
          <w:sz w:val="15"/>
          <w:szCs w:val="15"/>
        </w:rPr>
      </w:pPr>
    </w:p>
    <w:p w:rsidR="00BC150F" w:rsidRPr="004771C0" w:rsidRDefault="006E0EB0" w:rsidP="00CA07CA">
      <w:pPr>
        <w:widowControl w:val="0"/>
        <w:suppressLineNumbers/>
        <w:spacing w:line="240" w:lineRule="exact"/>
        <w:ind w:left="0" w:firstLine="0"/>
        <w:rPr>
          <w:rFonts w:ascii="Swis721 Md BT" w:hAnsi="Swis721 Md BT" w:cs="Arial"/>
          <w:b/>
          <w:snapToGrid w:val="0"/>
          <w:sz w:val="20"/>
          <w:szCs w:val="20"/>
        </w:rPr>
      </w:pPr>
      <w:r w:rsidRPr="000F0EBB">
        <w:rPr>
          <w:rFonts w:ascii="Swis721 Md BT" w:hAnsi="Swis721 Md BT" w:cs="Arial"/>
          <w:b/>
          <w:snapToGrid w:val="0"/>
          <w:sz w:val="20"/>
          <w:szCs w:val="20"/>
        </w:rPr>
        <w:t>Artikel 3</w:t>
      </w:r>
      <w:r w:rsidRPr="000F0EBB">
        <w:rPr>
          <w:rFonts w:ascii="Swis721 Md BT" w:hAnsi="Swis721 Md BT" w:cs="Arial"/>
          <w:b/>
          <w:snapToGrid w:val="0"/>
          <w:sz w:val="20"/>
          <w:szCs w:val="20"/>
        </w:rPr>
        <w:tab/>
        <w:t xml:space="preserve">Veranlagungsinstrumente und </w:t>
      </w:r>
      <w:r w:rsidR="00DD525C">
        <w:rPr>
          <w:rFonts w:ascii="Swis721 Md BT" w:hAnsi="Swis721 Md BT" w:cs="Arial"/>
          <w:b/>
          <w:snapToGrid w:val="0"/>
          <w:sz w:val="20"/>
          <w:szCs w:val="20"/>
        </w:rPr>
        <w:t>-</w:t>
      </w:r>
      <w:r w:rsidRPr="000F0EBB">
        <w:rPr>
          <w:rFonts w:ascii="Swis721 Md BT" w:hAnsi="Swis721 Md BT" w:cs="Arial"/>
          <w:b/>
          <w:snapToGrid w:val="0"/>
          <w:sz w:val="20"/>
          <w:szCs w:val="20"/>
        </w:rPr>
        <w:t>grundsätze</w:t>
      </w:r>
    </w:p>
    <w:p w:rsidR="00CE5502" w:rsidRDefault="00CE5502" w:rsidP="00331E5A">
      <w:pPr>
        <w:widowControl w:val="0"/>
        <w:spacing w:line="240" w:lineRule="exact"/>
        <w:ind w:left="0" w:firstLine="0"/>
        <w:rPr>
          <w:rFonts w:ascii="Swis721 Lt BT" w:hAnsi="Swis721 Lt BT" w:cs="Arial"/>
          <w:sz w:val="15"/>
          <w:szCs w:val="15"/>
        </w:rPr>
      </w:pPr>
    </w:p>
    <w:p w:rsidR="002A3997" w:rsidRPr="00C24D81" w:rsidRDefault="002A3997" w:rsidP="002A3997">
      <w:pPr>
        <w:widowControl w:val="0"/>
        <w:spacing w:line="240" w:lineRule="exact"/>
        <w:ind w:left="0" w:firstLine="0"/>
        <w:rPr>
          <w:rFonts w:ascii="Swis721 Lt BT" w:hAnsi="Swis721 Lt BT" w:cs="Arial"/>
          <w:sz w:val="15"/>
          <w:szCs w:val="15"/>
        </w:rPr>
      </w:pPr>
      <w:r w:rsidRPr="00C24D81">
        <w:rPr>
          <w:rFonts w:ascii="Swis721 Lt BT" w:hAnsi="Swis721 Lt BT" w:cs="Arial"/>
          <w:sz w:val="15"/>
          <w:szCs w:val="15"/>
        </w:rPr>
        <w:t xml:space="preserve">Für den Investmentfonds dürfen nachstehende Vermögenswerte </w:t>
      </w:r>
      <w:r>
        <w:rPr>
          <w:rFonts w:ascii="Swis721 Lt BT" w:hAnsi="Swis721 Lt BT" w:cs="Arial"/>
          <w:sz w:val="15"/>
          <w:szCs w:val="15"/>
        </w:rPr>
        <w:t>nach Maßgabe</w:t>
      </w:r>
      <w:r w:rsidRPr="00C24D81">
        <w:rPr>
          <w:rFonts w:ascii="Swis721 Lt BT" w:hAnsi="Swis721 Lt BT" w:cs="Arial"/>
          <w:sz w:val="15"/>
          <w:szCs w:val="15"/>
        </w:rPr>
        <w:t xml:space="preserve"> </w:t>
      </w:r>
      <w:r>
        <w:rPr>
          <w:rFonts w:ascii="Swis721 Lt BT" w:hAnsi="Swis721 Lt BT" w:cs="Arial"/>
          <w:sz w:val="15"/>
          <w:szCs w:val="15"/>
        </w:rPr>
        <w:t xml:space="preserve">des </w:t>
      </w:r>
      <w:proofErr w:type="spellStart"/>
      <w:r w:rsidRPr="00C24D81">
        <w:rPr>
          <w:rFonts w:ascii="Swis721 Lt BT" w:hAnsi="Swis721 Lt BT" w:cs="Arial"/>
          <w:sz w:val="15"/>
          <w:szCs w:val="15"/>
        </w:rPr>
        <w:t>InvFG</w:t>
      </w:r>
      <w:proofErr w:type="spellEnd"/>
      <w:r>
        <w:rPr>
          <w:rFonts w:ascii="Swis721 Lt BT" w:hAnsi="Swis721 Lt BT" w:cs="Arial"/>
          <w:sz w:val="15"/>
          <w:szCs w:val="15"/>
        </w:rPr>
        <w:t xml:space="preserve"> ausgewählt werden.</w:t>
      </w:r>
    </w:p>
    <w:p w:rsidR="00943AA1" w:rsidRDefault="00943AA1" w:rsidP="00331E5A">
      <w:pPr>
        <w:widowControl w:val="0"/>
        <w:spacing w:line="240" w:lineRule="exact"/>
        <w:ind w:left="0" w:firstLine="0"/>
        <w:rPr>
          <w:rFonts w:ascii="Swis721 Lt BT" w:hAnsi="Swis721 Lt BT" w:cs="Arial"/>
          <w:sz w:val="15"/>
          <w:szCs w:val="15"/>
        </w:rPr>
      </w:pPr>
    </w:p>
    <w:p w:rsidR="00DE206C" w:rsidRDefault="00DE206C" w:rsidP="00DE206C">
      <w:pPr>
        <w:widowControl w:val="0"/>
        <w:spacing w:line="240" w:lineRule="exact"/>
        <w:ind w:left="0" w:firstLine="0"/>
        <w:rPr>
          <w:rFonts w:ascii="Swis721 Lt BT" w:hAnsi="Swis721 Lt BT" w:cs="Arial"/>
          <w:sz w:val="15"/>
          <w:szCs w:val="15"/>
        </w:rPr>
      </w:pPr>
      <w:r>
        <w:rPr>
          <w:rFonts w:ascii="Swis721 Lt BT" w:hAnsi="Swis721 Lt BT" w:cs="Arial"/>
          <w:sz w:val="15"/>
          <w:szCs w:val="15"/>
        </w:rPr>
        <w:t xml:space="preserve">Der Investmentfonds investiert überwiegend (zumindest 51 </w:t>
      </w:r>
      <w:proofErr w:type="spellStart"/>
      <w:r>
        <w:rPr>
          <w:rFonts w:ascii="Swis721 Lt BT" w:hAnsi="Swis721 Lt BT" w:cs="Arial"/>
          <w:sz w:val="15"/>
          <w:szCs w:val="15"/>
        </w:rPr>
        <w:t>vH</w:t>
      </w:r>
      <w:proofErr w:type="spellEnd"/>
      <w:r>
        <w:rPr>
          <w:rFonts w:ascii="Swis721 Lt BT" w:hAnsi="Swis721 Lt BT" w:cs="Arial"/>
          <w:sz w:val="15"/>
          <w:szCs w:val="15"/>
        </w:rPr>
        <w:t xml:space="preserve"> des Fondsvermögens in Form von direkt erworbenen Einzeltiteln, somit nicht indirekt oder direkt über Investmentfonds oder über Derivate) in Anleihen, die auf Euro oder andere europäische (inkl. osteuropäische) Währungen lauten.</w:t>
      </w:r>
    </w:p>
    <w:p w:rsidR="002A3997" w:rsidRDefault="002A3997" w:rsidP="002A3997">
      <w:pPr>
        <w:pStyle w:val="Listenabsatz"/>
        <w:spacing w:line="240" w:lineRule="exact"/>
        <w:ind w:left="0" w:firstLine="0"/>
        <w:rPr>
          <w:rFonts w:ascii="Swis721 Lt BT" w:hAnsi="Swis721 Lt BT" w:cs="Arial"/>
          <w:snapToGrid w:val="0"/>
          <w:sz w:val="15"/>
          <w:szCs w:val="15"/>
        </w:rPr>
      </w:pPr>
    </w:p>
    <w:p w:rsidR="002A3997" w:rsidRPr="00BA25D9" w:rsidRDefault="002A3997" w:rsidP="002A3997">
      <w:pPr>
        <w:pStyle w:val="Listenabsatz"/>
        <w:spacing w:line="240" w:lineRule="exact"/>
        <w:ind w:left="0" w:firstLine="0"/>
        <w:rPr>
          <w:rFonts w:ascii="Swis721 Lt BT" w:hAnsi="Swis721 Lt BT" w:cs="Arial"/>
          <w:sz w:val="15"/>
          <w:szCs w:val="15"/>
        </w:rPr>
      </w:pPr>
      <w:r w:rsidRPr="00DE206C">
        <w:rPr>
          <w:rFonts w:ascii="Swis721 Lt BT" w:hAnsi="Swis721 Lt BT" w:cs="Arial"/>
          <w:sz w:val="15"/>
          <w:szCs w:val="15"/>
        </w:rPr>
        <w:t>Die nachfolgenden Veranlagungsinstrumente werden unter Einhaltung des obig beschriebenen Veranlagungsschwerpunkt</w:t>
      </w:r>
      <w:r w:rsidR="00DE206C" w:rsidRPr="00DE206C">
        <w:rPr>
          <w:rFonts w:ascii="Swis721 Lt BT" w:hAnsi="Swis721 Lt BT" w:cs="Arial"/>
          <w:sz w:val="15"/>
          <w:szCs w:val="15"/>
        </w:rPr>
        <w:t>e</w:t>
      </w:r>
      <w:r w:rsidRPr="00DE206C">
        <w:rPr>
          <w:rFonts w:ascii="Swis721 Lt BT" w:hAnsi="Swis721 Lt BT" w:cs="Arial"/>
          <w:sz w:val="15"/>
          <w:szCs w:val="15"/>
        </w:rPr>
        <w:t>s für das</w:t>
      </w:r>
      <w:r w:rsidRPr="00BA25D9">
        <w:rPr>
          <w:rFonts w:ascii="Swis721 Lt BT" w:hAnsi="Swis721 Lt BT" w:cs="Arial"/>
          <w:sz w:val="15"/>
          <w:szCs w:val="15"/>
        </w:rPr>
        <w:t xml:space="preserve"> Fondsvermögen erworben. </w:t>
      </w:r>
    </w:p>
    <w:p w:rsidR="00BA25D9" w:rsidRPr="006E0EB0" w:rsidRDefault="00BA25D9" w:rsidP="00331E5A">
      <w:pPr>
        <w:pStyle w:val="Listenabsatz"/>
        <w:spacing w:line="240" w:lineRule="exact"/>
        <w:ind w:left="0" w:firstLine="0"/>
        <w:rPr>
          <w:rFonts w:ascii="Swis721 Lt BT" w:hAnsi="Swis721 Lt BT" w:cs="Arial"/>
          <w:snapToGrid w:val="0"/>
          <w:sz w:val="15"/>
          <w:szCs w:val="15"/>
        </w:rPr>
      </w:pPr>
    </w:p>
    <w:p w:rsidR="00C77523" w:rsidRPr="00FB1C81" w:rsidRDefault="00CF4561" w:rsidP="00FB1C81">
      <w:pPr>
        <w:spacing w:line="240" w:lineRule="exact"/>
        <w:ind w:left="0" w:firstLine="0"/>
        <w:rPr>
          <w:rFonts w:ascii="Swis721 Md BT" w:hAnsi="Swis721 Md BT" w:cs="Arial"/>
          <w:sz w:val="18"/>
          <w:szCs w:val="18"/>
        </w:rPr>
      </w:pPr>
      <w:r w:rsidRPr="00C77523">
        <w:rPr>
          <w:rFonts w:ascii="Swis721 Md BT" w:hAnsi="Swis721 Md BT" w:cs="Arial"/>
          <w:sz w:val="18"/>
          <w:szCs w:val="18"/>
        </w:rPr>
        <w:t>Wertpapiere</w:t>
      </w:r>
    </w:p>
    <w:p w:rsidR="002A3997" w:rsidRDefault="002A3997" w:rsidP="002A3997">
      <w:pPr>
        <w:pStyle w:val="Listenabsatz"/>
        <w:widowControl w:val="0"/>
        <w:spacing w:line="240" w:lineRule="exact"/>
        <w:ind w:left="0" w:firstLine="0"/>
        <w:rPr>
          <w:rFonts w:ascii="Swis721 Lt BT" w:hAnsi="Swis721 Lt BT" w:cs="Arial"/>
          <w:sz w:val="15"/>
          <w:szCs w:val="15"/>
        </w:rPr>
      </w:pPr>
      <w:r w:rsidRPr="00DD525C">
        <w:rPr>
          <w:rFonts w:ascii="Swis721 Lt BT" w:hAnsi="Swis721 Lt BT" w:cs="Arial"/>
          <w:sz w:val="15"/>
          <w:szCs w:val="15"/>
        </w:rPr>
        <w:t>Wertpapiere (einschließlich Wertpapiere mit eingebetteten derivativen Instrumenten) dürfen im gesetzlich zulässigen Umfang</w:t>
      </w:r>
      <w:r w:rsidR="00DE206C" w:rsidRPr="00DD525C">
        <w:rPr>
          <w:rFonts w:ascii="Swis721 Lt BT" w:hAnsi="Swis721 Lt BT" w:cs="Arial"/>
          <w:color w:val="FF0000"/>
          <w:sz w:val="15"/>
          <w:szCs w:val="15"/>
        </w:rPr>
        <w:t xml:space="preserve"> </w:t>
      </w:r>
      <w:r w:rsidRPr="00DD525C">
        <w:rPr>
          <w:rFonts w:ascii="Swis721 Lt BT" w:hAnsi="Swis721 Lt BT" w:cs="Arial"/>
          <w:sz w:val="15"/>
          <w:szCs w:val="15"/>
        </w:rPr>
        <w:t>erworben</w:t>
      </w:r>
      <w:r w:rsidRPr="000F0EBB">
        <w:rPr>
          <w:rFonts w:ascii="Swis721 Lt BT" w:hAnsi="Swis721 Lt BT" w:cs="Arial"/>
          <w:sz w:val="15"/>
          <w:szCs w:val="15"/>
        </w:rPr>
        <w:t xml:space="preserve"> werden.</w:t>
      </w:r>
    </w:p>
    <w:p w:rsidR="002A3997" w:rsidRPr="006E0EB0" w:rsidRDefault="002A3997" w:rsidP="002A3997">
      <w:pPr>
        <w:widowControl w:val="0"/>
        <w:spacing w:line="240" w:lineRule="exact"/>
        <w:ind w:left="0" w:firstLine="0"/>
        <w:rPr>
          <w:rFonts w:ascii="Swis721 Lt BT" w:hAnsi="Swis721 Lt BT" w:cs="Arial"/>
          <w:sz w:val="15"/>
          <w:szCs w:val="15"/>
        </w:rPr>
      </w:pPr>
    </w:p>
    <w:p w:rsidR="002A3997" w:rsidRPr="00C77523" w:rsidRDefault="002A3997" w:rsidP="002A3997">
      <w:pPr>
        <w:spacing w:line="240" w:lineRule="exact"/>
        <w:ind w:left="0" w:firstLine="0"/>
        <w:rPr>
          <w:rFonts w:ascii="Swis721 Md BT" w:hAnsi="Swis721 Md BT" w:cs="Arial"/>
          <w:sz w:val="18"/>
          <w:szCs w:val="18"/>
        </w:rPr>
      </w:pPr>
      <w:r w:rsidRPr="00C77523">
        <w:rPr>
          <w:rFonts w:ascii="Swis721 Md BT" w:hAnsi="Swis721 Md BT" w:cs="Arial"/>
          <w:sz w:val="18"/>
          <w:szCs w:val="18"/>
        </w:rPr>
        <w:t>Geldmarktinstrumente</w:t>
      </w:r>
    </w:p>
    <w:p w:rsidR="002A3997" w:rsidRPr="000F0EBB" w:rsidRDefault="002A3997" w:rsidP="002A3997">
      <w:pPr>
        <w:pStyle w:val="Listenabsatz"/>
        <w:widowControl w:val="0"/>
        <w:spacing w:line="240" w:lineRule="exact"/>
        <w:ind w:left="0" w:firstLine="0"/>
        <w:rPr>
          <w:rFonts w:ascii="Swis721 Lt BT" w:hAnsi="Swis721 Lt BT" w:cs="Arial"/>
          <w:sz w:val="15"/>
          <w:szCs w:val="15"/>
        </w:rPr>
      </w:pPr>
      <w:r w:rsidRPr="00DD525C">
        <w:rPr>
          <w:rFonts w:ascii="Swis721 Lt BT" w:hAnsi="Swis721 Lt BT" w:cs="Arial"/>
          <w:sz w:val="15"/>
          <w:szCs w:val="15"/>
        </w:rPr>
        <w:t xml:space="preserve">Geldmarktinstrumente dürfen </w:t>
      </w:r>
      <w:r w:rsidRPr="00DD525C">
        <w:rPr>
          <w:rFonts w:ascii="Swis721 Lt BT" w:hAnsi="Swis721 Lt BT" w:cs="Arial"/>
          <w:b/>
          <w:sz w:val="15"/>
          <w:szCs w:val="15"/>
        </w:rPr>
        <w:t xml:space="preserve">bis zu </w:t>
      </w:r>
      <w:r w:rsidR="00DD525C" w:rsidRPr="00DD525C">
        <w:rPr>
          <w:rFonts w:ascii="Swis721 Lt BT" w:hAnsi="Swis721 Lt BT" w:cs="Arial"/>
          <w:b/>
          <w:sz w:val="15"/>
          <w:szCs w:val="15"/>
        </w:rPr>
        <w:t>49</w:t>
      </w:r>
      <w:r w:rsidRPr="00DD525C">
        <w:rPr>
          <w:rFonts w:ascii="Swis721 Lt BT" w:hAnsi="Swis721 Lt BT" w:cs="Arial"/>
          <w:b/>
          <w:sz w:val="15"/>
          <w:szCs w:val="15"/>
        </w:rPr>
        <w:t xml:space="preserve"> </w:t>
      </w:r>
      <w:proofErr w:type="spellStart"/>
      <w:r w:rsidRPr="00DD525C">
        <w:rPr>
          <w:rFonts w:ascii="Swis721 Lt BT" w:hAnsi="Swis721 Lt BT" w:cs="Arial"/>
          <w:b/>
          <w:sz w:val="15"/>
          <w:szCs w:val="15"/>
        </w:rPr>
        <w:t>vH</w:t>
      </w:r>
      <w:proofErr w:type="spellEnd"/>
      <w:r w:rsidRPr="00DD525C">
        <w:rPr>
          <w:rFonts w:ascii="Swis721 Lt BT" w:hAnsi="Swis721 Lt BT" w:cs="Arial"/>
          <w:sz w:val="15"/>
          <w:szCs w:val="15"/>
        </w:rPr>
        <w:t xml:space="preserve"> des Fondsvermögens erworben werden.</w:t>
      </w:r>
    </w:p>
    <w:p w:rsidR="002A3997" w:rsidRPr="006E0EB0" w:rsidRDefault="002A3997" w:rsidP="002A3997">
      <w:pPr>
        <w:pStyle w:val="Listenabsatz"/>
        <w:widowControl w:val="0"/>
        <w:spacing w:line="240" w:lineRule="exact"/>
        <w:ind w:left="0" w:firstLine="0"/>
        <w:rPr>
          <w:rFonts w:ascii="Swis721 Lt BT" w:hAnsi="Swis721 Lt BT" w:cs="Arial"/>
          <w:snapToGrid w:val="0"/>
          <w:sz w:val="15"/>
          <w:szCs w:val="15"/>
        </w:rPr>
      </w:pPr>
    </w:p>
    <w:p w:rsidR="002A3997" w:rsidRPr="00C77523" w:rsidRDefault="002A3997" w:rsidP="002A3997">
      <w:pPr>
        <w:spacing w:line="240" w:lineRule="exact"/>
        <w:ind w:left="0" w:firstLine="0"/>
        <w:rPr>
          <w:rFonts w:ascii="Swis721 Md BT" w:hAnsi="Swis721 Md BT" w:cs="Arial"/>
          <w:sz w:val="18"/>
          <w:szCs w:val="18"/>
        </w:rPr>
      </w:pPr>
      <w:r w:rsidRPr="00C77523">
        <w:rPr>
          <w:rFonts w:ascii="Swis721 Md BT" w:hAnsi="Swis721 Md BT" w:cs="Arial"/>
          <w:sz w:val="18"/>
          <w:szCs w:val="18"/>
        </w:rPr>
        <w:t>Wertpapiere und Geldmarktinstrumente</w:t>
      </w:r>
    </w:p>
    <w:p w:rsidR="002A3997" w:rsidRPr="00CE5502" w:rsidRDefault="002A3997" w:rsidP="002A3997">
      <w:pPr>
        <w:spacing w:line="240" w:lineRule="exact"/>
        <w:ind w:left="0" w:firstLine="0"/>
        <w:rPr>
          <w:rFonts w:ascii="Swis721 Lt BT" w:hAnsi="Swis721 Lt BT" w:cs="Arial"/>
          <w:snapToGrid w:val="0"/>
          <w:sz w:val="15"/>
          <w:szCs w:val="15"/>
        </w:rPr>
      </w:pPr>
      <w:r w:rsidRPr="00CE5502">
        <w:rPr>
          <w:rFonts w:ascii="Swis721 Lt BT" w:hAnsi="Swis721 Lt BT" w:cs="Arial"/>
          <w:snapToGrid w:val="0"/>
          <w:sz w:val="15"/>
          <w:szCs w:val="15"/>
        </w:rPr>
        <w:t xml:space="preserve">Wertpapiere oder Geldmarktinstrumente, die </w:t>
      </w:r>
      <w:r w:rsidRPr="00AE5EB1">
        <w:rPr>
          <w:rFonts w:ascii="Swis721 Lt BT" w:hAnsi="Swis721 Lt BT" w:cs="Arial"/>
          <w:snapToGrid w:val="0"/>
          <w:sz w:val="15"/>
          <w:szCs w:val="15"/>
        </w:rPr>
        <w:t xml:space="preserve">von </w:t>
      </w:r>
      <w:r w:rsidR="00DD525C">
        <w:rPr>
          <w:rFonts w:ascii="Swis721 Lt BT" w:hAnsi="Swis721 Lt BT" w:cs="Arial"/>
          <w:snapToGrid w:val="0"/>
          <w:sz w:val="15"/>
          <w:szCs w:val="15"/>
        </w:rPr>
        <w:t xml:space="preserve">Österreich, Deutschland, Belgien, Finnland, Frankreich oder den Niederlanden </w:t>
      </w:r>
      <w:r w:rsidRPr="00CE5502">
        <w:rPr>
          <w:rFonts w:ascii="Swis721 Lt BT" w:hAnsi="Swis721 Lt BT" w:cs="Arial"/>
          <w:snapToGrid w:val="0"/>
          <w:sz w:val="15"/>
          <w:szCs w:val="15"/>
        </w:rPr>
        <w:t>begeben oder garantiert werden, dürfen</w:t>
      </w:r>
      <w:r>
        <w:rPr>
          <w:rFonts w:ascii="Swis721 Lt BT" w:hAnsi="Swis721 Lt BT" w:cs="Arial"/>
          <w:snapToGrid w:val="0"/>
          <w:sz w:val="15"/>
          <w:szCs w:val="15"/>
        </w:rPr>
        <w:t xml:space="preserve"> </w:t>
      </w:r>
      <w:r w:rsidRPr="00D47147">
        <w:rPr>
          <w:rFonts w:ascii="Swis721 Lt BT" w:hAnsi="Swis721 Lt BT" w:cs="Arial"/>
          <w:b/>
          <w:snapToGrid w:val="0"/>
          <w:sz w:val="15"/>
          <w:szCs w:val="15"/>
        </w:rPr>
        <w:t xml:space="preserve">zu mehr als 35 </w:t>
      </w:r>
      <w:proofErr w:type="spellStart"/>
      <w:r w:rsidRPr="00D47147">
        <w:rPr>
          <w:rFonts w:ascii="Swis721 Lt BT" w:hAnsi="Swis721 Lt BT" w:cs="Arial"/>
          <w:b/>
          <w:snapToGrid w:val="0"/>
          <w:sz w:val="15"/>
          <w:szCs w:val="15"/>
        </w:rPr>
        <w:t>vH</w:t>
      </w:r>
      <w:proofErr w:type="spellEnd"/>
      <w:r>
        <w:rPr>
          <w:rFonts w:ascii="Swis721 Lt BT" w:hAnsi="Swis721 Lt BT" w:cs="Arial"/>
          <w:snapToGrid w:val="0"/>
          <w:sz w:val="15"/>
          <w:szCs w:val="15"/>
        </w:rPr>
        <w:t xml:space="preserve"> des Fondsvermögens</w:t>
      </w:r>
      <w:r w:rsidRPr="00CE5502">
        <w:rPr>
          <w:rFonts w:ascii="Swis721 Lt BT" w:hAnsi="Swis721 Lt BT" w:cs="Arial"/>
          <w:snapToGrid w:val="0"/>
          <w:sz w:val="15"/>
          <w:szCs w:val="15"/>
        </w:rPr>
        <w:t xml:space="preserve"> erworben werden, sofern die Veranlagung in zumindest sechs verschiedenen Emissionen erfolgt, wobei die Veranlagung in ein und derselben Emission </w:t>
      </w:r>
      <w:r w:rsidRPr="00D47147">
        <w:rPr>
          <w:rFonts w:ascii="Swis721 Lt BT" w:hAnsi="Swis721 Lt BT" w:cs="Arial"/>
          <w:b/>
          <w:snapToGrid w:val="0"/>
          <w:sz w:val="15"/>
          <w:szCs w:val="15"/>
        </w:rPr>
        <w:t xml:space="preserve">30 </w:t>
      </w:r>
      <w:proofErr w:type="spellStart"/>
      <w:r w:rsidRPr="00D47147">
        <w:rPr>
          <w:rFonts w:ascii="Swis721 Lt BT" w:hAnsi="Swis721 Lt BT" w:cs="Arial"/>
          <w:b/>
          <w:snapToGrid w:val="0"/>
          <w:sz w:val="15"/>
          <w:szCs w:val="15"/>
        </w:rPr>
        <w:t>vH</w:t>
      </w:r>
      <w:proofErr w:type="spellEnd"/>
      <w:r w:rsidRPr="00CE5502">
        <w:rPr>
          <w:rFonts w:ascii="Swis721 Lt BT" w:hAnsi="Swis721 Lt BT" w:cs="Arial"/>
          <w:snapToGrid w:val="0"/>
          <w:sz w:val="15"/>
          <w:szCs w:val="15"/>
        </w:rPr>
        <w:t xml:space="preserve"> des Fondsvermögens nicht überschreiten darf. </w:t>
      </w:r>
    </w:p>
    <w:p w:rsidR="00DD525C" w:rsidRDefault="00DD525C" w:rsidP="002A3997">
      <w:pPr>
        <w:spacing w:line="240" w:lineRule="exact"/>
        <w:ind w:left="0" w:firstLine="0"/>
        <w:rPr>
          <w:rFonts w:ascii="Swis721 Lt BT" w:hAnsi="Swis721 Lt BT" w:cs="Arial"/>
          <w:snapToGrid w:val="0"/>
          <w:sz w:val="15"/>
          <w:szCs w:val="15"/>
        </w:rPr>
      </w:pPr>
    </w:p>
    <w:p w:rsidR="002A3997" w:rsidRPr="00276A54" w:rsidRDefault="002A3997" w:rsidP="002A3997">
      <w:pPr>
        <w:spacing w:line="240" w:lineRule="exact"/>
        <w:ind w:left="0" w:firstLine="0"/>
        <w:rPr>
          <w:rFonts w:ascii="Swis721 Lt BT" w:hAnsi="Swis721 Lt BT" w:cs="Arial"/>
          <w:snapToGrid w:val="0"/>
          <w:sz w:val="15"/>
          <w:szCs w:val="15"/>
        </w:rPr>
      </w:pPr>
      <w:r w:rsidRPr="00276A54">
        <w:rPr>
          <w:rFonts w:ascii="Swis721 Lt BT" w:hAnsi="Swis721 Lt BT" w:cs="Arial"/>
          <w:snapToGrid w:val="0"/>
          <w:sz w:val="15"/>
          <w:szCs w:val="15"/>
        </w:rPr>
        <w:t xml:space="preserve">Der Erwerb nicht voll eingezahlter Wertpapiere oder Geldmarktinstrumente und von Bezugsrechten auf solche Instrumente oder von nicht voll eingezahlten anderen Finanzinstrumenten ist </w:t>
      </w:r>
      <w:r w:rsidRPr="0029130E">
        <w:rPr>
          <w:rFonts w:ascii="Swis721 Lt BT" w:hAnsi="Swis721 Lt BT" w:cs="Arial"/>
          <w:snapToGrid w:val="0"/>
          <w:sz w:val="15"/>
          <w:szCs w:val="15"/>
        </w:rPr>
        <w:t xml:space="preserve">bis zu </w:t>
      </w:r>
      <w:r w:rsidRPr="008C32ED">
        <w:rPr>
          <w:rFonts w:ascii="Swis721 Lt BT" w:hAnsi="Swis721 Lt BT" w:cs="Arial"/>
          <w:b/>
          <w:snapToGrid w:val="0"/>
          <w:sz w:val="15"/>
          <w:szCs w:val="15"/>
        </w:rPr>
        <w:t xml:space="preserve">10 </w:t>
      </w:r>
      <w:proofErr w:type="spellStart"/>
      <w:r w:rsidRPr="008C32ED">
        <w:rPr>
          <w:rFonts w:ascii="Swis721 Lt BT" w:hAnsi="Swis721 Lt BT" w:cs="Arial"/>
          <w:b/>
          <w:snapToGrid w:val="0"/>
          <w:sz w:val="15"/>
          <w:szCs w:val="15"/>
        </w:rPr>
        <w:t>vH</w:t>
      </w:r>
      <w:proofErr w:type="spellEnd"/>
      <w:r w:rsidRPr="0029130E">
        <w:rPr>
          <w:rFonts w:ascii="Swis721 Lt BT" w:hAnsi="Swis721 Lt BT" w:cs="Arial"/>
          <w:snapToGrid w:val="0"/>
          <w:sz w:val="15"/>
          <w:szCs w:val="15"/>
        </w:rPr>
        <w:t xml:space="preserve"> des Fondsvermögens</w:t>
      </w:r>
      <w:r>
        <w:rPr>
          <w:rFonts w:ascii="Swis721 Lt BT" w:hAnsi="Swis721 Lt BT" w:cs="Arial"/>
          <w:snapToGrid w:val="0"/>
          <w:sz w:val="15"/>
          <w:szCs w:val="15"/>
        </w:rPr>
        <w:t xml:space="preserve"> </w:t>
      </w:r>
      <w:r w:rsidRPr="00276A54">
        <w:rPr>
          <w:rFonts w:ascii="Swis721 Lt BT" w:hAnsi="Swis721 Lt BT" w:cs="Arial"/>
          <w:snapToGrid w:val="0"/>
          <w:sz w:val="15"/>
          <w:szCs w:val="15"/>
        </w:rPr>
        <w:t>zulässig.</w:t>
      </w:r>
    </w:p>
    <w:p w:rsidR="002A3997" w:rsidRPr="006E0EB0" w:rsidRDefault="002A3997" w:rsidP="002A3997">
      <w:pPr>
        <w:pStyle w:val="Listenabsatz"/>
        <w:spacing w:line="240" w:lineRule="exact"/>
        <w:ind w:left="0" w:firstLine="0"/>
        <w:rPr>
          <w:rFonts w:ascii="Swis721 Lt BT" w:hAnsi="Swis721 Lt BT" w:cs="Arial"/>
          <w:snapToGrid w:val="0"/>
          <w:sz w:val="15"/>
          <w:szCs w:val="15"/>
        </w:rPr>
      </w:pPr>
    </w:p>
    <w:p w:rsidR="002A3997" w:rsidRPr="00276A54" w:rsidRDefault="002A3997" w:rsidP="002A3997">
      <w:pPr>
        <w:spacing w:line="240" w:lineRule="exact"/>
        <w:ind w:left="0" w:firstLine="0"/>
        <w:rPr>
          <w:rFonts w:ascii="Swis721 Lt BT" w:hAnsi="Swis721 Lt BT" w:cs="Arial"/>
          <w:sz w:val="15"/>
          <w:szCs w:val="15"/>
        </w:rPr>
      </w:pPr>
      <w:r w:rsidRPr="00276A54">
        <w:rPr>
          <w:rFonts w:ascii="Swis721 Lt BT" w:eastAsia="Calibri" w:hAnsi="Swis721 Lt BT" w:cs="Arial"/>
          <w:snapToGrid w:val="0"/>
          <w:sz w:val="15"/>
          <w:szCs w:val="15"/>
        </w:rPr>
        <w:t>Wertpapiere und Geldmarktinstrumente dürfen erworben werden, wenn sie</w:t>
      </w:r>
      <w:r w:rsidRPr="00276A54">
        <w:rPr>
          <w:rFonts w:ascii="Swis721 Lt BT" w:hAnsi="Swis721 Lt BT" w:cs="Arial"/>
          <w:snapToGrid w:val="0"/>
          <w:sz w:val="15"/>
          <w:szCs w:val="15"/>
        </w:rPr>
        <w:t xml:space="preserve"> den Kriterien betreffend </w:t>
      </w:r>
      <w:r>
        <w:rPr>
          <w:rFonts w:ascii="Swis721 Lt BT" w:hAnsi="Swis721 Lt BT" w:cs="Arial"/>
          <w:snapToGrid w:val="0"/>
          <w:sz w:val="15"/>
          <w:szCs w:val="15"/>
        </w:rPr>
        <w:t xml:space="preserve">die </w:t>
      </w:r>
      <w:r w:rsidRPr="00276A54">
        <w:rPr>
          <w:rFonts w:ascii="Swis721 Lt BT" w:hAnsi="Swis721 Lt BT" w:cs="Arial"/>
          <w:snapToGrid w:val="0"/>
          <w:sz w:val="15"/>
          <w:szCs w:val="15"/>
        </w:rPr>
        <w:t>Notiz oder</w:t>
      </w:r>
      <w:r>
        <w:rPr>
          <w:rFonts w:ascii="Swis721 Lt BT" w:hAnsi="Swis721 Lt BT" w:cs="Arial"/>
          <w:snapToGrid w:val="0"/>
          <w:sz w:val="15"/>
          <w:szCs w:val="15"/>
        </w:rPr>
        <w:t xml:space="preserve"> den</w:t>
      </w:r>
      <w:r w:rsidRPr="00276A54">
        <w:rPr>
          <w:rFonts w:ascii="Swis721 Lt BT" w:hAnsi="Swis721 Lt BT" w:cs="Arial"/>
          <w:snapToGrid w:val="0"/>
          <w:sz w:val="15"/>
          <w:szCs w:val="15"/>
        </w:rPr>
        <w:t xml:space="preserve"> Handel an einem geregelten Markt oder einer Wertpapierbörse gemäß </w:t>
      </w:r>
      <w:proofErr w:type="spellStart"/>
      <w:r w:rsidRPr="00276A54">
        <w:rPr>
          <w:rFonts w:ascii="Swis721 Lt BT" w:hAnsi="Swis721 Lt BT" w:cs="Arial"/>
          <w:snapToGrid w:val="0"/>
          <w:sz w:val="15"/>
          <w:szCs w:val="15"/>
        </w:rPr>
        <w:t>InvFG</w:t>
      </w:r>
      <w:proofErr w:type="spellEnd"/>
      <w:r w:rsidRPr="00276A54">
        <w:rPr>
          <w:rFonts w:ascii="Swis721 Lt BT" w:hAnsi="Swis721 Lt BT" w:cs="Arial"/>
          <w:snapToGrid w:val="0"/>
          <w:sz w:val="15"/>
          <w:szCs w:val="15"/>
        </w:rPr>
        <w:t xml:space="preserve"> entsprechen.</w:t>
      </w:r>
    </w:p>
    <w:p w:rsidR="002A3997" w:rsidRPr="006E0EB0" w:rsidRDefault="002A3997" w:rsidP="002A3997">
      <w:pPr>
        <w:pStyle w:val="Listenabsatz"/>
        <w:spacing w:line="240" w:lineRule="exact"/>
        <w:ind w:left="0" w:firstLine="0"/>
        <w:rPr>
          <w:rFonts w:ascii="Swis721 Lt BT" w:hAnsi="Swis721 Lt BT" w:cs="Arial"/>
          <w:sz w:val="15"/>
          <w:szCs w:val="15"/>
        </w:rPr>
      </w:pPr>
    </w:p>
    <w:p w:rsidR="002A3997" w:rsidRPr="00276A54" w:rsidRDefault="002A3997" w:rsidP="002A3997">
      <w:pPr>
        <w:spacing w:line="240" w:lineRule="exact"/>
        <w:ind w:left="0" w:firstLine="0"/>
        <w:rPr>
          <w:rFonts w:ascii="Swis721 Lt BT" w:hAnsi="Swis721 Lt BT" w:cs="Arial"/>
          <w:sz w:val="15"/>
          <w:szCs w:val="15"/>
        </w:rPr>
      </w:pPr>
      <w:r w:rsidRPr="00276A54">
        <w:rPr>
          <w:rFonts w:ascii="Swis721 Lt BT" w:hAnsi="Swis721 Lt BT" w:cs="Arial"/>
          <w:snapToGrid w:val="0"/>
          <w:sz w:val="15"/>
          <w:szCs w:val="15"/>
        </w:rPr>
        <w:t>Wertpapiere und Geldmarktinstrumente, die die im vorstehenden Absatz genannten Kriterien nicht erfüllen, dürfen i</w:t>
      </w:r>
      <w:r w:rsidRPr="00276A54">
        <w:rPr>
          <w:rFonts w:ascii="Swis721 Lt BT" w:eastAsia="Calibri" w:hAnsi="Swis721 Lt BT" w:cs="Arial"/>
          <w:snapToGrid w:val="0"/>
          <w:sz w:val="15"/>
          <w:szCs w:val="15"/>
        </w:rPr>
        <w:t xml:space="preserve">nsgesamt </w:t>
      </w:r>
      <w:r w:rsidRPr="00106158">
        <w:rPr>
          <w:rFonts w:ascii="Swis721 Lt BT" w:eastAsia="Calibri" w:hAnsi="Swis721 Lt BT" w:cs="Arial"/>
          <w:snapToGrid w:val="0"/>
          <w:sz w:val="15"/>
          <w:szCs w:val="15"/>
        </w:rPr>
        <w:t>bis zu 10 </w:t>
      </w:r>
      <w:proofErr w:type="spellStart"/>
      <w:r w:rsidRPr="00106158">
        <w:rPr>
          <w:rFonts w:ascii="Swis721 Lt BT" w:eastAsia="Calibri" w:hAnsi="Swis721 Lt BT" w:cs="Arial"/>
          <w:snapToGrid w:val="0"/>
          <w:sz w:val="15"/>
          <w:szCs w:val="15"/>
        </w:rPr>
        <w:t>vH</w:t>
      </w:r>
      <w:proofErr w:type="spellEnd"/>
      <w:r w:rsidRPr="00276A54">
        <w:rPr>
          <w:rFonts w:ascii="Swis721 Lt BT" w:eastAsia="Calibri" w:hAnsi="Swis721 Lt BT" w:cs="Arial"/>
          <w:snapToGrid w:val="0"/>
          <w:sz w:val="15"/>
          <w:szCs w:val="15"/>
        </w:rPr>
        <w:t xml:space="preserve"> des Fondsvermögens erworben werden.</w:t>
      </w:r>
    </w:p>
    <w:p w:rsidR="002A3997" w:rsidRDefault="002A3997" w:rsidP="002A3997">
      <w:pPr>
        <w:widowControl w:val="0"/>
        <w:spacing w:line="240" w:lineRule="exact"/>
        <w:ind w:left="0" w:firstLine="0"/>
        <w:rPr>
          <w:rFonts w:ascii="Swis721 Lt BT" w:hAnsi="Swis721 Lt BT" w:cs="Arial"/>
          <w:sz w:val="15"/>
          <w:szCs w:val="15"/>
        </w:rPr>
      </w:pPr>
    </w:p>
    <w:p w:rsidR="00943AA1" w:rsidRDefault="00943AA1" w:rsidP="003C3ED3">
      <w:pPr>
        <w:widowControl w:val="0"/>
        <w:spacing w:line="240" w:lineRule="exact"/>
        <w:ind w:left="0" w:firstLine="0"/>
        <w:rPr>
          <w:rFonts w:ascii="Swis721 Lt BT" w:hAnsi="Swis721 Lt BT" w:cs="Arial"/>
          <w:sz w:val="15"/>
          <w:szCs w:val="15"/>
        </w:rPr>
      </w:pPr>
    </w:p>
    <w:p w:rsidR="00CF4561" w:rsidRPr="00C77523" w:rsidRDefault="00CF4561" w:rsidP="00C77523">
      <w:pPr>
        <w:spacing w:line="240" w:lineRule="exact"/>
        <w:ind w:left="0" w:firstLine="0"/>
        <w:rPr>
          <w:rFonts w:ascii="Swis721 Md BT" w:hAnsi="Swis721 Md BT" w:cs="Arial"/>
          <w:sz w:val="18"/>
          <w:szCs w:val="18"/>
        </w:rPr>
      </w:pPr>
      <w:r w:rsidRPr="00C77523">
        <w:rPr>
          <w:rFonts w:ascii="Swis721 Md BT" w:hAnsi="Swis721 Md BT" w:cs="Arial"/>
          <w:sz w:val="18"/>
          <w:szCs w:val="18"/>
        </w:rPr>
        <w:t>Anteile an Investmentfonds</w:t>
      </w:r>
    </w:p>
    <w:p w:rsidR="002A3997" w:rsidRDefault="002A3997" w:rsidP="002A3997">
      <w:pPr>
        <w:tabs>
          <w:tab w:val="left" w:pos="284"/>
        </w:tabs>
        <w:spacing w:line="240" w:lineRule="exact"/>
        <w:ind w:left="0" w:firstLine="0"/>
        <w:rPr>
          <w:rFonts w:ascii="Swis721 Lt BT" w:hAnsi="Swis721 Lt BT" w:cs="Arial"/>
          <w:sz w:val="15"/>
          <w:szCs w:val="15"/>
        </w:rPr>
      </w:pPr>
      <w:r w:rsidRPr="00611396">
        <w:rPr>
          <w:rFonts w:ascii="Swis721 Lt BT" w:hAnsi="Swis721 Lt BT" w:cs="Arial"/>
          <w:sz w:val="15"/>
          <w:szCs w:val="15"/>
        </w:rPr>
        <w:t xml:space="preserve">Anteile an Investmentfonds (OGAW, OGA) </w:t>
      </w:r>
      <w:r w:rsidRPr="004703F9">
        <w:rPr>
          <w:rFonts w:ascii="Swis721 Lt BT" w:hAnsi="Swis721 Lt BT" w:cs="Arial"/>
          <w:sz w:val="15"/>
          <w:szCs w:val="15"/>
        </w:rPr>
        <w:t xml:space="preserve">dürfen </w:t>
      </w:r>
      <w:r w:rsidRPr="00D47147">
        <w:rPr>
          <w:rFonts w:ascii="Swis721 Lt BT" w:hAnsi="Swis721 Lt BT" w:cs="Arial"/>
          <w:b/>
          <w:sz w:val="15"/>
          <w:szCs w:val="15"/>
        </w:rPr>
        <w:t xml:space="preserve">jeweils bis zu </w:t>
      </w:r>
      <w:r w:rsidR="00DD525C">
        <w:rPr>
          <w:rFonts w:ascii="Swis721 Lt BT" w:hAnsi="Swis721 Lt BT" w:cs="Arial"/>
          <w:b/>
          <w:sz w:val="15"/>
          <w:szCs w:val="15"/>
        </w:rPr>
        <w:t>10</w:t>
      </w:r>
      <w:r w:rsidRPr="00C77523">
        <w:rPr>
          <w:rFonts w:ascii="Swis721 Lt BT" w:hAnsi="Swis721 Lt BT" w:cs="Arial"/>
          <w:sz w:val="15"/>
          <w:szCs w:val="15"/>
        </w:rPr>
        <w:t xml:space="preserve"> </w:t>
      </w:r>
      <w:proofErr w:type="spellStart"/>
      <w:r w:rsidRPr="008B2C28">
        <w:rPr>
          <w:rFonts w:ascii="Swis721 Lt BT" w:hAnsi="Swis721 Lt BT" w:cs="Arial"/>
          <w:b/>
          <w:sz w:val="15"/>
          <w:szCs w:val="15"/>
        </w:rPr>
        <w:t>vH</w:t>
      </w:r>
      <w:proofErr w:type="spellEnd"/>
      <w:r>
        <w:rPr>
          <w:rFonts w:ascii="Swis721 Lt BT" w:hAnsi="Swis721 Lt BT" w:cs="Arial"/>
          <w:sz w:val="15"/>
          <w:szCs w:val="15"/>
        </w:rPr>
        <w:t xml:space="preserve"> </w:t>
      </w:r>
      <w:r w:rsidRPr="00C77523">
        <w:rPr>
          <w:rFonts w:ascii="Swis721 Lt BT" w:hAnsi="Swis721 Lt BT" w:cs="Arial"/>
          <w:sz w:val="15"/>
          <w:szCs w:val="15"/>
        </w:rPr>
        <w:t xml:space="preserve">des Fondsvermögens und </w:t>
      </w:r>
      <w:r w:rsidRPr="00D47147">
        <w:rPr>
          <w:rFonts w:ascii="Swis721 Lt BT" w:hAnsi="Swis721 Lt BT" w:cs="Arial"/>
          <w:b/>
          <w:sz w:val="15"/>
          <w:szCs w:val="15"/>
        </w:rPr>
        <w:t xml:space="preserve">insgesamt bis zu </w:t>
      </w:r>
      <w:r w:rsidR="00DD525C">
        <w:rPr>
          <w:rFonts w:ascii="Swis721 Lt BT" w:hAnsi="Swis721 Lt BT" w:cs="Arial"/>
          <w:b/>
          <w:sz w:val="15"/>
          <w:szCs w:val="15"/>
        </w:rPr>
        <w:t>10</w:t>
      </w:r>
      <w:r>
        <w:rPr>
          <w:rFonts w:ascii="Swis721 Lt BT" w:hAnsi="Swis721 Lt BT" w:cs="Arial"/>
          <w:sz w:val="15"/>
          <w:szCs w:val="15"/>
        </w:rPr>
        <w:t xml:space="preserve"> </w:t>
      </w:r>
      <w:proofErr w:type="spellStart"/>
      <w:r w:rsidRPr="008B2C28">
        <w:rPr>
          <w:rFonts w:ascii="Swis721 Lt BT" w:hAnsi="Swis721 Lt BT" w:cs="Arial"/>
          <w:b/>
          <w:sz w:val="15"/>
          <w:szCs w:val="15"/>
        </w:rPr>
        <w:t>vH</w:t>
      </w:r>
      <w:proofErr w:type="spellEnd"/>
      <w:r w:rsidRPr="00C77523">
        <w:rPr>
          <w:rFonts w:ascii="Swis721 Lt BT" w:hAnsi="Swis721 Lt BT" w:cs="Arial"/>
          <w:sz w:val="15"/>
          <w:szCs w:val="15"/>
        </w:rPr>
        <w:t xml:space="preserve"> des</w:t>
      </w:r>
      <w:r w:rsidRPr="00611396">
        <w:rPr>
          <w:rFonts w:ascii="Swis721 Lt BT" w:hAnsi="Swis721 Lt BT" w:cs="Arial"/>
          <w:sz w:val="15"/>
          <w:szCs w:val="15"/>
        </w:rPr>
        <w:t xml:space="preserve"> Fondsvermögens</w:t>
      </w:r>
      <w:r>
        <w:rPr>
          <w:rFonts w:ascii="Swis721 Lt BT" w:hAnsi="Swis721 Lt BT" w:cs="Arial"/>
          <w:sz w:val="15"/>
          <w:szCs w:val="15"/>
        </w:rPr>
        <w:t xml:space="preserve"> </w:t>
      </w:r>
      <w:r w:rsidRPr="00611396">
        <w:rPr>
          <w:rFonts w:ascii="Swis721 Lt BT" w:hAnsi="Swis721 Lt BT" w:cs="Arial"/>
          <w:sz w:val="15"/>
          <w:szCs w:val="15"/>
        </w:rPr>
        <w:t>erworben werden, sofern diese (OGAW bzw. OGA) ihrerseits jeweils zu nicht mehr als 10 </w:t>
      </w:r>
      <w:proofErr w:type="spellStart"/>
      <w:r w:rsidRPr="00611396">
        <w:rPr>
          <w:rFonts w:ascii="Swis721 Lt BT" w:hAnsi="Swis721 Lt BT" w:cs="Arial"/>
          <w:sz w:val="15"/>
          <w:szCs w:val="15"/>
        </w:rPr>
        <w:t>vH</w:t>
      </w:r>
      <w:proofErr w:type="spellEnd"/>
      <w:r w:rsidRPr="00611396">
        <w:rPr>
          <w:rFonts w:ascii="Swis721 Lt BT" w:hAnsi="Swis721 Lt BT" w:cs="Arial"/>
          <w:sz w:val="15"/>
          <w:szCs w:val="15"/>
        </w:rPr>
        <w:t xml:space="preserve"> des Fondsvermögens in Anteile anderer Investmentfonds investieren.</w:t>
      </w:r>
    </w:p>
    <w:p w:rsidR="00116A4F" w:rsidRPr="002A3997" w:rsidRDefault="00116A4F" w:rsidP="003C3ED3">
      <w:pPr>
        <w:widowControl w:val="0"/>
        <w:spacing w:line="240" w:lineRule="exact"/>
        <w:ind w:left="0" w:firstLine="0"/>
        <w:rPr>
          <w:rFonts w:ascii="Swis721 Lt BT" w:hAnsi="Swis721 Lt BT" w:cs="Arial"/>
          <w:sz w:val="15"/>
          <w:szCs w:val="15"/>
        </w:rPr>
      </w:pPr>
    </w:p>
    <w:p w:rsidR="000C3DBE" w:rsidRPr="00C77523" w:rsidRDefault="000C3DBE" w:rsidP="00C77523">
      <w:pPr>
        <w:spacing w:line="240" w:lineRule="exact"/>
        <w:ind w:left="0" w:firstLine="0"/>
        <w:rPr>
          <w:rFonts w:ascii="Swis721 Md BT" w:hAnsi="Swis721 Md BT" w:cs="Arial"/>
          <w:sz w:val="18"/>
          <w:szCs w:val="18"/>
        </w:rPr>
      </w:pPr>
      <w:r w:rsidRPr="00C77523">
        <w:rPr>
          <w:rFonts w:ascii="Swis721 Md BT" w:hAnsi="Swis721 Md BT" w:cs="Arial"/>
          <w:sz w:val="18"/>
          <w:szCs w:val="18"/>
        </w:rPr>
        <w:t>Derivative Instrumente</w:t>
      </w:r>
    </w:p>
    <w:p w:rsidR="002A3997" w:rsidRDefault="002A3997" w:rsidP="002A3997">
      <w:pPr>
        <w:pStyle w:val="Listenabsatz"/>
        <w:widowControl w:val="0"/>
        <w:spacing w:line="240" w:lineRule="exact"/>
        <w:ind w:left="0" w:firstLine="0"/>
        <w:rPr>
          <w:rFonts w:ascii="Swis721 Lt BT" w:hAnsi="Swis721 Lt BT" w:cs="Arial"/>
          <w:sz w:val="15"/>
          <w:szCs w:val="15"/>
        </w:rPr>
      </w:pPr>
      <w:r w:rsidRPr="00DD525C">
        <w:rPr>
          <w:rFonts w:ascii="Swis721 Lt BT" w:hAnsi="Swis721 Lt BT" w:cs="Arial"/>
          <w:sz w:val="15"/>
          <w:szCs w:val="15"/>
        </w:rPr>
        <w:t xml:space="preserve">Derivative Instrumente dürfen als Teil der Anlagestrategie </w:t>
      </w:r>
      <w:r w:rsidRPr="00DD525C">
        <w:rPr>
          <w:rFonts w:ascii="Swis721 Lt BT" w:hAnsi="Swis721 Lt BT" w:cs="Arial"/>
          <w:b/>
          <w:sz w:val="15"/>
          <w:szCs w:val="15"/>
        </w:rPr>
        <w:t xml:space="preserve">bis zu </w:t>
      </w:r>
      <w:r w:rsidR="00DD525C" w:rsidRPr="00DD525C">
        <w:rPr>
          <w:rFonts w:ascii="Swis721 Lt BT" w:hAnsi="Swis721 Lt BT" w:cs="Arial"/>
          <w:b/>
          <w:sz w:val="15"/>
          <w:szCs w:val="15"/>
        </w:rPr>
        <w:t>49</w:t>
      </w:r>
      <w:r w:rsidRPr="00DD525C">
        <w:rPr>
          <w:rFonts w:ascii="Swis721 Lt BT" w:hAnsi="Swis721 Lt BT" w:cs="Arial"/>
          <w:b/>
          <w:sz w:val="15"/>
          <w:szCs w:val="15"/>
        </w:rPr>
        <w:t xml:space="preserve"> </w:t>
      </w:r>
      <w:proofErr w:type="spellStart"/>
      <w:r w:rsidRPr="00DD525C">
        <w:rPr>
          <w:rFonts w:ascii="Swis721 Lt BT" w:hAnsi="Swis721 Lt BT" w:cs="Arial"/>
          <w:b/>
          <w:sz w:val="15"/>
          <w:szCs w:val="15"/>
        </w:rPr>
        <w:t>vH</w:t>
      </w:r>
      <w:proofErr w:type="spellEnd"/>
      <w:r w:rsidRPr="00DD525C">
        <w:rPr>
          <w:rFonts w:ascii="Swis721 Lt BT" w:hAnsi="Swis721 Lt BT" w:cs="Arial"/>
          <w:sz w:val="15"/>
          <w:szCs w:val="15"/>
        </w:rPr>
        <w:t xml:space="preserve"> des Fondsvermögens (Berechnung nach Marktpreisen) und zur </w:t>
      </w:r>
      <w:r w:rsidRPr="006E0EB0">
        <w:rPr>
          <w:rFonts w:ascii="Swis721 Lt BT" w:hAnsi="Swis721 Lt BT" w:cs="Arial"/>
          <w:sz w:val="15"/>
          <w:szCs w:val="15"/>
        </w:rPr>
        <w:t>Absicherung eingesetzt werden.</w:t>
      </w:r>
    </w:p>
    <w:p w:rsidR="00DD525C" w:rsidRPr="006E0EB0" w:rsidRDefault="00DD525C" w:rsidP="002A3997">
      <w:pPr>
        <w:pStyle w:val="Listenabsatz"/>
        <w:widowControl w:val="0"/>
        <w:spacing w:line="240" w:lineRule="exact"/>
        <w:ind w:left="0" w:firstLine="0"/>
        <w:rPr>
          <w:rFonts w:ascii="Swis721 Lt BT" w:hAnsi="Swis721 Lt BT" w:cs="Arial"/>
          <w:sz w:val="15"/>
          <w:szCs w:val="15"/>
        </w:rPr>
      </w:pPr>
    </w:p>
    <w:p w:rsidR="00AD0261" w:rsidRPr="00AD0261" w:rsidRDefault="00CA07CA" w:rsidP="00AD0261">
      <w:pPr>
        <w:spacing w:line="240" w:lineRule="exact"/>
        <w:ind w:left="0" w:firstLine="0"/>
        <w:rPr>
          <w:rFonts w:ascii="Swis721 Md BT" w:hAnsi="Swis721 Md BT" w:cs="Arial"/>
          <w:sz w:val="18"/>
          <w:szCs w:val="18"/>
        </w:rPr>
      </w:pPr>
      <w:r w:rsidRPr="00C77523">
        <w:rPr>
          <w:rFonts w:ascii="Swis721 Md BT" w:hAnsi="Swis721 Md BT" w:cs="Arial"/>
          <w:sz w:val="18"/>
          <w:szCs w:val="18"/>
        </w:rPr>
        <w:t>Risiko-Messmethode des Investmentfonds</w:t>
      </w:r>
    </w:p>
    <w:p w:rsidR="00283D1E" w:rsidRDefault="00943AA1" w:rsidP="00331E5A">
      <w:pPr>
        <w:tabs>
          <w:tab w:val="num" w:pos="0"/>
        </w:tabs>
        <w:spacing w:line="240" w:lineRule="exact"/>
        <w:ind w:left="0" w:firstLine="0"/>
        <w:rPr>
          <w:rFonts w:ascii="Swis721 Lt BT" w:hAnsi="Swis721 Lt BT" w:cs="Arial"/>
          <w:sz w:val="15"/>
          <w:szCs w:val="15"/>
        </w:rPr>
      </w:pPr>
      <w:r w:rsidRPr="006E0EB0">
        <w:rPr>
          <w:rFonts w:ascii="Swis721 Lt BT" w:hAnsi="Swis721 Lt BT" w:cs="Arial"/>
          <w:sz w:val="15"/>
          <w:szCs w:val="15"/>
        </w:rPr>
        <w:t xml:space="preserve">Der </w:t>
      </w:r>
      <w:r w:rsidR="00FC1566">
        <w:rPr>
          <w:rFonts w:ascii="Swis721 Lt BT" w:hAnsi="Swis721 Lt BT" w:cs="Arial"/>
          <w:sz w:val="15"/>
          <w:szCs w:val="15"/>
        </w:rPr>
        <w:t>Investment</w:t>
      </w:r>
      <w:r w:rsidRPr="006E0EB0">
        <w:rPr>
          <w:rFonts w:ascii="Swis721 Lt BT" w:hAnsi="Swis721 Lt BT" w:cs="Arial"/>
          <w:sz w:val="15"/>
          <w:szCs w:val="15"/>
        </w:rPr>
        <w:t>fonds wendet folgende Risikomessmethode an</w:t>
      </w:r>
      <w:r w:rsidR="00530B73">
        <w:rPr>
          <w:rFonts w:ascii="Swis721 Lt BT" w:hAnsi="Swis721 Lt BT" w:cs="Arial"/>
          <w:sz w:val="15"/>
          <w:szCs w:val="15"/>
        </w:rPr>
        <w:t>:</w:t>
      </w:r>
      <w:r w:rsidRPr="006E0EB0">
        <w:rPr>
          <w:rFonts w:ascii="Swis721 Lt BT" w:hAnsi="Swis721 Lt BT" w:cs="Arial"/>
          <w:sz w:val="15"/>
          <w:szCs w:val="15"/>
        </w:rPr>
        <w:t xml:space="preserve"> </w:t>
      </w:r>
    </w:p>
    <w:p w:rsidR="00943AA1" w:rsidRPr="006E0EB0" w:rsidRDefault="00943AA1" w:rsidP="00331E5A">
      <w:pPr>
        <w:tabs>
          <w:tab w:val="num" w:pos="0"/>
        </w:tabs>
        <w:spacing w:line="240" w:lineRule="exact"/>
        <w:ind w:left="0" w:firstLine="0"/>
        <w:rPr>
          <w:rFonts w:ascii="Swis721 Lt BT" w:hAnsi="Swis721 Lt BT" w:cs="Arial"/>
          <w:sz w:val="15"/>
          <w:szCs w:val="15"/>
        </w:rPr>
      </w:pPr>
    </w:p>
    <w:p w:rsidR="002A3997" w:rsidRPr="00F27CD7" w:rsidRDefault="002A3997" w:rsidP="002A3997">
      <w:pPr>
        <w:spacing w:line="240" w:lineRule="exact"/>
        <w:ind w:left="0" w:firstLine="0"/>
        <w:rPr>
          <w:rFonts w:ascii="Swis721 Md BT" w:hAnsi="Swis721 Md BT" w:cs="Arial"/>
          <w:sz w:val="18"/>
          <w:szCs w:val="18"/>
        </w:rPr>
      </w:pPr>
      <w:proofErr w:type="spellStart"/>
      <w:r w:rsidRPr="00F27CD7">
        <w:rPr>
          <w:rFonts w:ascii="Swis721 Md BT" w:hAnsi="Swis721 Md BT" w:cs="Arial"/>
          <w:sz w:val="18"/>
          <w:szCs w:val="18"/>
        </w:rPr>
        <w:t>Commitment</w:t>
      </w:r>
      <w:proofErr w:type="spellEnd"/>
      <w:r w:rsidRPr="00F27CD7">
        <w:rPr>
          <w:rFonts w:ascii="Swis721 Md BT" w:hAnsi="Swis721 Md BT" w:cs="Arial"/>
          <w:sz w:val="18"/>
          <w:szCs w:val="18"/>
        </w:rPr>
        <w:t xml:space="preserve"> Ansatz</w:t>
      </w:r>
    </w:p>
    <w:p w:rsidR="002A3997" w:rsidRDefault="002A3997" w:rsidP="002A3997">
      <w:pPr>
        <w:tabs>
          <w:tab w:val="num" w:pos="0"/>
        </w:tabs>
        <w:spacing w:line="240" w:lineRule="exact"/>
        <w:ind w:left="0" w:firstLine="0"/>
        <w:rPr>
          <w:rFonts w:ascii="Swis721 Lt BT" w:hAnsi="Swis721 Lt BT" w:cs="Arial"/>
          <w:sz w:val="15"/>
          <w:szCs w:val="15"/>
        </w:rPr>
      </w:pPr>
      <w:r>
        <w:rPr>
          <w:rFonts w:ascii="Swis721 Lt BT" w:hAnsi="Swis721 Lt BT" w:cs="Arial"/>
          <w:sz w:val="15"/>
          <w:szCs w:val="15"/>
        </w:rPr>
        <w:t xml:space="preserve">Der </w:t>
      </w:r>
      <w:proofErr w:type="spellStart"/>
      <w:r>
        <w:rPr>
          <w:rFonts w:ascii="Swis721 Lt BT" w:hAnsi="Swis721 Lt BT" w:cs="Arial"/>
          <w:sz w:val="15"/>
          <w:szCs w:val="15"/>
        </w:rPr>
        <w:t>Commitment</w:t>
      </w:r>
      <w:proofErr w:type="spellEnd"/>
      <w:r>
        <w:rPr>
          <w:rFonts w:ascii="Swis721 Lt BT" w:hAnsi="Swis721 Lt BT" w:cs="Arial"/>
          <w:sz w:val="15"/>
          <w:szCs w:val="15"/>
        </w:rPr>
        <w:t xml:space="preserve"> Wert wird gemäß dem 3. Hauptstück der 4. Derivate-Risikoberechnungs- und </w:t>
      </w:r>
      <w:proofErr w:type="spellStart"/>
      <w:r>
        <w:rPr>
          <w:rFonts w:ascii="Swis721 Lt BT" w:hAnsi="Swis721 Lt BT" w:cs="Arial"/>
          <w:sz w:val="15"/>
          <w:szCs w:val="15"/>
        </w:rPr>
        <w:t>MeldeV</w:t>
      </w:r>
      <w:proofErr w:type="spellEnd"/>
      <w:r>
        <w:rPr>
          <w:rFonts w:ascii="Swis721 Lt BT" w:hAnsi="Swis721 Lt BT" w:cs="Arial"/>
          <w:sz w:val="15"/>
          <w:szCs w:val="15"/>
        </w:rPr>
        <w:t xml:space="preserve"> </w:t>
      </w:r>
      <w:proofErr w:type="spellStart"/>
      <w:r>
        <w:rPr>
          <w:rFonts w:ascii="Swis721 Lt BT" w:hAnsi="Swis721 Lt BT" w:cs="Arial"/>
          <w:sz w:val="15"/>
          <w:szCs w:val="15"/>
        </w:rPr>
        <w:t>idgF</w:t>
      </w:r>
      <w:proofErr w:type="spellEnd"/>
      <w:r>
        <w:rPr>
          <w:rFonts w:ascii="Swis721 Lt BT" w:hAnsi="Swis721 Lt BT" w:cs="Arial"/>
          <w:sz w:val="15"/>
          <w:szCs w:val="15"/>
        </w:rPr>
        <w:t xml:space="preserve"> ermittelt.</w:t>
      </w:r>
    </w:p>
    <w:p w:rsidR="002A3997" w:rsidRDefault="002A3997" w:rsidP="002A3997">
      <w:pPr>
        <w:tabs>
          <w:tab w:val="num" w:pos="0"/>
        </w:tabs>
        <w:spacing w:line="240" w:lineRule="exact"/>
        <w:ind w:left="0" w:firstLine="0"/>
        <w:rPr>
          <w:rFonts w:ascii="Swis721 Lt BT" w:hAnsi="Swis721 Lt BT" w:cs="Arial"/>
          <w:sz w:val="15"/>
          <w:szCs w:val="15"/>
        </w:rPr>
      </w:pPr>
      <w:r>
        <w:rPr>
          <w:rFonts w:ascii="Swis721 Lt BT" w:hAnsi="Swis721 Lt BT" w:cs="Arial"/>
          <w:sz w:val="15"/>
          <w:szCs w:val="15"/>
        </w:rPr>
        <w:t xml:space="preserve">Das Gesamtrisiko derivativer Instrumente, die nicht der Absicherung dienen, darf </w:t>
      </w:r>
      <w:r w:rsidR="00DD525C">
        <w:rPr>
          <w:rFonts w:ascii="Swis721 Lt BT" w:hAnsi="Swis721 Lt BT" w:cs="Arial"/>
          <w:b/>
          <w:sz w:val="15"/>
          <w:szCs w:val="15"/>
        </w:rPr>
        <w:t>75</w:t>
      </w:r>
      <w:r w:rsidRPr="001A6D0D">
        <w:rPr>
          <w:rFonts w:ascii="Swis721 Lt BT" w:hAnsi="Swis721 Lt BT" w:cs="Arial"/>
          <w:b/>
          <w:sz w:val="15"/>
          <w:szCs w:val="15"/>
        </w:rPr>
        <w:t xml:space="preserve"> </w:t>
      </w:r>
      <w:proofErr w:type="spellStart"/>
      <w:r w:rsidRPr="001A6D0D">
        <w:rPr>
          <w:rFonts w:ascii="Swis721 Lt BT" w:hAnsi="Swis721 Lt BT" w:cs="Arial"/>
          <w:b/>
          <w:sz w:val="15"/>
          <w:szCs w:val="15"/>
        </w:rPr>
        <w:t>vH</w:t>
      </w:r>
      <w:proofErr w:type="spellEnd"/>
      <w:r>
        <w:rPr>
          <w:rFonts w:ascii="Swis721 Lt BT" w:hAnsi="Swis721 Lt BT" w:cs="Arial"/>
          <w:sz w:val="15"/>
          <w:szCs w:val="15"/>
        </w:rPr>
        <w:t xml:space="preserve"> des Gesamtnettowerts des Fondsvermögens nicht überschreiten.</w:t>
      </w:r>
    </w:p>
    <w:p w:rsidR="00943AA1" w:rsidRPr="006E0EB0" w:rsidRDefault="00943AA1" w:rsidP="00331E5A">
      <w:pPr>
        <w:widowControl w:val="0"/>
        <w:spacing w:line="240" w:lineRule="exact"/>
        <w:ind w:left="0" w:firstLine="0"/>
        <w:rPr>
          <w:rFonts w:ascii="Swis721 Lt BT" w:hAnsi="Swis721 Lt BT" w:cs="Arial"/>
          <w:sz w:val="15"/>
          <w:szCs w:val="15"/>
          <w:u w:val="single"/>
        </w:rPr>
      </w:pPr>
    </w:p>
    <w:p w:rsidR="002A3997" w:rsidRPr="00C77523" w:rsidRDefault="002A3997" w:rsidP="002A3997">
      <w:pPr>
        <w:spacing w:line="240" w:lineRule="exact"/>
        <w:ind w:left="0" w:firstLine="0"/>
        <w:rPr>
          <w:rFonts w:ascii="Swis721 Md BT" w:hAnsi="Swis721 Md BT" w:cs="Arial"/>
          <w:sz w:val="18"/>
          <w:szCs w:val="18"/>
        </w:rPr>
      </w:pPr>
      <w:r w:rsidRPr="00C77523">
        <w:rPr>
          <w:rFonts w:ascii="Swis721 Md BT" w:hAnsi="Swis721 Md BT" w:cs="Arial"/>
          <w:sz w:val="18"/>
          <w:szCs w:val="18"/>
        </w:rPr>
        <w:t>Sichteinlagen oder kündbare Einlagen</w:t>
      </w:r>
    </w:p>
    <w:p w:rsidR="002A3997" w:rsidRPr="00157D36" w:rsidRDefault="002A3997" w:rsidP="002A3997">
      <w:pPr>
        <w:widowControl w:val="0"/>
        <w:suppressLineNumbers/>
        <w:spacing w:line="240" w:lineRule="exact"/>
        <w:ind w:left="0" w:right="113" w:firstLine="0"/>
        <w:rPr>
          <w:rFonts w:ascii="Swis721 Lt BT" w:hAnsi="Swis721 Lt BT" w:cs="Arial"/>
          <w:sz w:val="15"/>
          <w:szCs w:val="15"/>
        </w:rPr>
      </w:pPr>
      <w:r w:rsidRPr="00157D36">
        <w:rPr>
          <w:rFonts w:ascii="Swis721 Lt BT" w:hAnsi="Swis721 Lt BT" w:cs="Arial"/>
          <w:sz w:val="15"/>
          <w:szCs w:val="15"/>
        </w:rPr>
        <w:t xml:space="preserve">Sichteinlagen und kündbare Einlagen mit einer Laufzeit von höchstens 12 Monaten </w:t>
      </w:r>
      <w:r>
        <w:rPr>
          <w:rFonts w:ascii="Swis721 Lt BT" w:hAnsi="Swis721 Lt BT" w:cs="Arial"/>
          <w:sz w:val="15"/>
          <w:szCs w:val="15"/>
        </w:rPr>
        <w:t>dürfen</w:t>
      </w:r>
      <w:r w:rsidRPr="00157D36">
        <w:rPr>
          <w:rFonts w:ascii="Swis721 Lt BT" w:hAnsi="Swis721 Lt BT" w:cs="Arial"/>
          <w:sz w:val="15"/>
          <w:szCs w:val="15"/>
        </w:rPr>
        <w:t xml:space="preserve"> </w:t>
      </w:r>
      <w:r w:rsidRPr="00157D36">
        <w:rPr>
          <w:rFonts w:ascii="Swis721 Lt BT" w:hAnsi="Swis721 Lt BT" w:cs="Arial"/>
          <w:b/>
          <w:sz w:val="15"/>
          <w:szCs w:val="15"/>
        </w:rPr>
        <w:t xml:space="preserve">bis zu </w:t>
      </w:r>
      <w:r w:rsidR="00DD525C">
        <w:rPr>
          <w:rFonts w:ascii="Swis721 Lt BT" w:hAnsi="Swis721 Lt BT" w:cs="Arial"/>
          <w:b/>
          <w:sz w:val="15"/>
          <w:szCs w:val="15"/>
        </w:rPr>
        <w:t>25</w:t>
      </w:r>
      <w:r w:rsidRPr="00157D36">
        <w:rPr>
          <w:rFonts w:ascii="Swis721 Lt BT" w:hAnsi="Swis721 Lt BT" w:cs="Arial"/>
          <w:b/>
          <w:sz w:val="15"/>
          <w:szCs w:val="15"/>
        </w:rPr>
        <w:t xml:space="preserve"> </w:t>
      </w:r>
      <w:proofErr w:type="spellStart"/>
      <w:r w:rsidRPr="00157D36">
        <w:rPr>
          <w:rFonts w:ascii="Swis721 Lt BT" w:hAnsi="Swis721 Lt BT" w:cs="Arial"/>
          <w:b/>
          <w:sz w:val="15"/>
          <w:szCs w:val="15"/>
        </w:rPr>
        <w:t>vH</w:t>
      </w:r>
      <w:proofErr w:type="spellEnd"/>
      <w:r w:rsidRPr="00157D36">
        <w:rPr>
          <w:rFonts w:ascii="Swis721 Lt BT" w:hAnsi="Swis721 Lt BT" w:cs="Arial"/>
          <w:sz w:val="15"/>
          <w:szCs w:val="15"/>
        </w:rPr>
        <w:t xml:space="preserve"> des </w:t>
      </w:r>
      <w:r w:rsidR="00DD525C">
        <w:rPr>
          <w:rFonts w:ascii="Swis721 Lt BT" w:hAnsi="Swis721 Lt BT" w:cs="Arial"/>
          <w:sz w:val="15"/>
          <w:szCs w:val="15"/>
        </w:rPr>
        <w:t>Fondsvermögens gehalten werden.</w:t>
      </w:r>
      <w:r w:rsidRPr="00157D36">
        <w:rPr>
          <w:rFonts w:ascii="Swis721 Lt BT" w:hAnsi="Swis721 Lt BT" w:cs="Arial"/>
          <w:sz w:val="15"/>
          <w:szCs w:val="15"/>
        </w:rPr>
        <w:t xml:space="preserve"> Es ist kein Mindestbankguthaben zu halten.</w:t>
      </w:r>
    </w:p>
    <w:p w:rsidR="002A3997" w:rsidRPr="006E0EB0" w:rsidRDefault="002A3997" w:rsidP="002A3997">
      <w:pPr>
        <w:pStyle w:val="Listenabsatz"/>
        <w:widowControl w:val="0"/>
        <w:suppressLineNumbers/>
        <w:spacing w:line="240" w:lineRule="exact"/>
        <w:ind w:left="0" w:right="113" w:firstLine="0"/>
        <w:rPr>
          <w:rFonts w:ascii="Swis721 Lt BT" w:hAnsi="Swis721 Lt BT" w:cs="Arial"/>
          <w:sz w:val="15"/>
          <w:szCs w:val="15"/>
        </w:rPr>
      </w:pPr>
    </w:p>
    <w:p w:rsidR="002A3997" w:rsidRPr="00240960" w:rsidRDefault="002A3997" w:rsidP="002A3997">
      <w:pPr>
        <w:widowControl w:val="0"/>
        <w:suppressLineNumbers/>
        <w:spacing w:line="240" w:lineRule="exact"/>
        <w:ind w:left="0" w:right="113" w:firstLine="0"/>
        <w:rPr>
          <w:rFonts w:ascii="Swis721 Lt BT" w:hAnsi="Swis721 Lt BT" w:cs="Arial"/>
          <w:sz w:val="15"/>
          <w:szCs w:val="15"/>
        </w:rPr>
      </w:pPr>
      <w:r w:rsidRPr="00DD525C">
        <w:rPr>
          <w:rFonts w:ascii="Swis721 Lt BT" w:hAnsi="Swis721 Lt BT" w:cs="Arial"/>
          <w:sz w:val="15"/>
          <w:szCs w:val="15"/>
        </w:rPr>
        <w:t>Im Rahmen von Umschichtungen des Fondsportfolios und/oder der begründeten Annahme drohender Verluste bei Wertpapieren</w:t>
      </w:r>
      <w:r w:rsidR="00DD525C" w:rsidRPr="00DD525C">
        <w:rPr>
          <w:rFonts w:ascii="Swis721 Lt BT" w:hAnsi="Swis721 Lt BT" w:cs="Arial"/>
          <w:sz w:val="15"/>
          <w:szCs w:val="15"/>
        </w:rPr>
        <w:t xml:space="preserve"> </w:t>
      </w:r>
      <w:r w:rsidRPr="00DD525C">
        <w:rPr>
          <w:rFonts w:ascii="Swis721 Lt BT" w:hAnsi="Swis721 Lt BT" w:cs="Arial"/>
          <w:sz w:val="15"/>
          <w:szCs w:val="15"/>
        </w:rPr>
        <w:t>kann der Investmentfonds den Anteil an Wertpapieren</w:t>
      </w:r>
      <w:r w:rsidR="00DD525C" w:rsidRPr="00DD525C">
        <w:rPr>
          <w:rFonts w:ascii="Swis721 Lt BT" w:hAnsi="Swis721 Lt BT" w:cs="Arial"/>
          <w:sz w:val="15"/>
          <w:szCs w:val="15"/>
        </w:rPr>
        <w:t xml:space="preserve"> </w:t>
      </w:r>
      <w:r w:rsidRPr="00DD525C">
        <w:rPr>
          <w:rFonts w:ascii="Swis721 Lt BT" w:hAnsi="Swis721 Lt BT" w:cs="Arial"/>
          <w:sz w:val="15"/>
          <w:szCs w:val="15"/>
        </w:rPr>
        <w:t xml:space="preserve">unterschreiten und einen höheren Anteil an Sichteinlagen oder kündbaren Einlagen mit einer </w:t>
      </w:r>
      <w:r w:rsidRPr="00240960">
        <w:rPr>
          <w:rFonts w:ascii="Swis721 Lt BT" w:hAnsi="Swis721 Lt BT" w:cs="Arial"/>
          <w:sz w:val="15"/>
          <w:szCs w:val="15"/>
        </w:rPr>
        <w:t>Laufzeit von höchstens 12 Monaten</w:t>
      </w:r>
      <w:r>
        <w:rPr>
          <w:rFonts w:ascii="Swis721 Lt BT" w:hAnsi="Swis721 Lt BT" w:cs="Arial"/>
          <w:sz w:val="15"/>
          <w:szCs w:val="15"/>
        </w:rPr>
        <w:t xml:space="preserve"> </w:t>
      </w:r>
      <w:r w:rsidRPr="00240960">
        <w:rPr>
          <w:rFonts w:ascii="Swis721 Lt BT" w:hAnsi="Swis721 Lt BT" w:cs="Arial"/>
          <w:sz w:val="15"/>
          <w:szCs w:val="15"/>
        </w:rPr>
        <w:t>aufweisen.</w:t>
      </w:r>
    </w:p>
    <w:p w:rsidR="00943AA1" w:rsidRPr="006E0EB0" w:rsidRDefault="00943AA1" w:rsidP="003C3ED3">
      <w:pPr>
        <w:pStyle w:val="Listenabsatz"/>
        <w:spacing w:line="240" w:lineRule="exact"/>
        <w:ind w:left="0" w:firstLine="0"/>
        <w:rPr>
          <w:rFonts w:ascii="Swis721 Lt BT" w:hAnsi="Swis721 Lt BT" w:cs="Arial"/>
          <w:snapToGrid w:val="0"/>
          <w:sz w:val="15"/>
          <w:szCs w:val="15"/>
        </w:rPr>
      </w:pPr>
    </w:p>
    <w:p w:rsidR="00943AA1" w:rsidRPr="00C77523" w:rsidRDefault="00CF4561" w:rsidP="00C77523">
      <w:pPr>
        <w:spacing w:line="240" w:lineRule="exact"/>
        <w:ind w:left="0" w:firstLine="0"/>
        <w:rPr>
          <w:rFonts w:ascii="Swis721 Md BT" w:hAnsi="Swis721 Md BT" w:cs="Arial"/>
          <w:sz w:val="18"/>
          <w:szCs w:val="18"/>
        </w:rPr>
      </w:pPr>
      <w:r w:rsidRPr="00C77523">
        <w:rPr>
          <w:rFonts w:ascii="Swis721 Md BT" w:hAnsi="Swis721 Md BT" w:cs="Arial"/>
          <w:sz w:val="18"/>
          <w:szCs w:val="18"/>
        </w:rPr>
        <w:t>Vorübergehend aufgenommene Kredite</w:t>
      </w:r>
    </w:p>
    <w:p w:rsidR="00943AA1" w:rsidRPr="00BC150F" w:rsidRDefault="00943AA1" w:rsidP="00BC150F">
      <w:pPr>
        <w:spacing w:line="240" w:lineRule="exact"/>
        <w:ind w:left="0" w:firstLine="0"/>
        <w:rPr>
          <w:rFonts w:ascii="Swis721 Lt BT" w:hAnsi="Swis721 Lt BT" w:cs="Arial"/>
          <w:snapToGrid w:val="0"/>
          <w:sz w:val="15"/>
          <w:szCs w:val="15"/>
        </w:rPr>
      </w:pPr>
      <w:r w:rsidRPr="00BC150F">
        <w:rPr>
          <w:rFonts w:ascii="Swis721 Lt BT" w:hAnsi="Swis721 Lt BT" w:cs="Arial"/>
          <w:sz w:val="15"/>
          <w:szCs w:val="15"/>
        </w:rPr>
        <w:t xml:space="preserve">Die Verwaltungsgesellschaft darf für Rechnung des Investmentfonds vorübergehend Kredite </w:t>
      </w:r>
      <w:r w:rsidRPr="00983C62">
        <w:rPr>
          <w:rFonts w:ascii="Swis721 Lt BT" w:hAnsi="Swis721 Lt BT" w:cs="Arial"/>
          <w:sz w:val="15"/>
          <w:szCs w:val="15"/>
        </w:rPr>
        <w:t xml:space="preserve">bis zur Höhe von </w:t>
      </w:r>
      <w:r w:rsidRPr="00D47147">
        <w:rPr>
          <w:rFonts w:ascii="Swis721 Lt BT" w:hAnsi="Swis721 Lt BT" w:cs="Arial"/>
          <w:b/>
          <w:sz w:val="15"/>
          <w:szCs w:val="15"/>
        </w:rPr>
        <w:t>10 </w:t>
      </w:r>
      <w:proofErr w:type="spellStart"/>
      <w:r w:rsidRPr="00D47147">
        <w:rPr>
          <w:rFonts w:ascii="Swis721 Lt BT" w:hAnsi="Swis721 Lt BT" w:cs="Arial"/>
          <w:b/>
          <w:sz w:val="15"/>
          <w:szCs w:val="15"/>
        </w:rPr>
        <w:t>vH</w:t>
      </w:r>
      <w:proofErr w:type="spellEnd"/>
      <w:r w:rsidRPr="00BC150F">
        <w:rPr>
          <w:rFonts w:ascii="Swis721 Lt BT" w:hAnsi="Swis721 Lt BT" w:cs="Arial"/>
          <w:sz w:val="15"/>
          <w:szCs w:val="15"/>
        </w:rPr>
        <w:t xml:space="preserve"> des Fondsvermögens aufnehmen.</w:t>
      </w:r>
    </w:p>
    <w:p w:rsidR="008E752A" w:rsidRPr="00DD525C" w:rsidRDefault="008E752A" w:rsidP="00331E5A">
      <w:pPr>
        <w:widowControl w:val="0"/>
        <w:spacing w:line="240" w:lineRule="exact"/>
        <w:ind w:left="0" w:firstLine="0"/>
        <w:rPr>
          <w:rFonts w:ascii="Swis721 Lt BT" w:hAnsi="Swis721 Lt BT" w:cs="Arial"/>
          <w:sz w:val="15"/>
          <w:szCs w:val="15"/>
        </w:rPr>
      </w:pPr>
    </w:p>
    <w:p w:rsidR="00E80F9A" w:rsidRPr="00C77523" w:rsidRDefault="00E80F9A" w:rsidP="00C77523">
      <w:pPr>
        <w:spacing w:line="240" w:lineRule="exact"/>
        <w:ind w:left="0" w:firstLine="0"/>
        <w:rPr>
          <w:rFonts w:ascii="Swis721 Md BT" w:hAnsi="Swis721 Md BT" w:cs="Arial"/>
          <w:sz w:val="18"/>
          <w:szCs w:val="18"/>
        </w:rPr>
      </w:pPr>
      <w:r w:rsidRPr="00C77523">
        <w:rPr>
          <w:rFonts w:ascii="Swis721 Md BT" w:hAnsi="Swis721 Md BT" w:cs="Arial"/>
          <w:sz w:val="18"/>
          <w:szCs w:val="18"/>
        </w:rPr>
        <w:t>Pensionsgeschäfte</w:t>
      </w:r>
    </w:p>
    <w:p w:rsidR="0047250F" w:rsidRDefault="0047250F" w:rsidP="0047250F">
      <w:pPr>
        <w:spacing w:line="240" w:lineRule="atLeast"/>
        <w:ind w:left="0" w:firstLine="0"/>
        <w:rPr>
          <w:rFonts w:ascii="Swis721 Lt BT" w:hAnsi="Swis721 Lt BT" w:cs="Arial"/>
          <w:sz w:val="15"/>
          <w:szCs w:val="15"/>
        </w:rPr>
      </w:pPr>
      <w:r w:rsidRPr="0047250F">
        <w:rPr>
          <w:rFonts w:ascii="Swis721 Lt BT" w:hAnsi="Swis721 Lt BT" w:cs="Arial"/>
          <w:sz w:val="15"/>
          <w:szCs w:val="15"/>
        </w:rPr>
        <w:t xml:space="preserve">Pensionsgeschäfte dürfen </w:t>
      </w:r>
      <w:r w:rsidRPr="00D47147">
        <w:rPr>
          <w:rFonts w:ascii="Swis721 Lt BT" w:hAnsi="Swis721 Lt BT" w:cs="Arial"/>
          <w:b/>
          <w:sz w:val="15"/>
          <w:szCs w:val="15"/>
        </w:rPr>
        <w:t xml:space="preserve">bis zu 100 </w:t>
      </w:r>
      <w:proofErr w:type="spellStart"/>
      <w:r w:rsidRPr="00D47147">
        <w:rPr>
          <w:rFonts w:ascii="Swis721 Lt BT" w:hAnsi="Swis721 Lt BT" w:cs="Arial"/>
          <w:b/>
          <w:sz w:val="15"/>
          <w:szCs w:val="15"/>
        </w:rPr>
        <w:t>vH</w:t>
      </w:r>
      <w:proofErr w:type="spellEnd"/>
      <w:r w:rsidRPr="0047250F">
        <w:rPr>
          <w:rFonts w:ascii="Swis721 Lt BT" w:hAnsi="Swis721 Lt BT" w:cs="Arial"/>
          <w:sz w:val="15"/>
          <w:szCs w:val="15"/>
        </w:rPr>
        <w:t xml:space="preserve"> des Fondsvermögens eingesetzt werden.</w:t>
      </w:r>
    </w:p>
    <w:p w:rsidR="00943AA1" w:rsidRPr="006E0EB0" w:rsidRDefault="00943AA1" w:rsidP="00331E5A">
      <w:pPr>
        <w:tabs>
          <w:tab w:val="num" w:pos="284"/>
        </w:tabs>
        <w:spacing w:line="240" w:lineRule="exact"/>
        <w:ind w:left="0" w:firstLine="0"/>
        <w:rPr>
          <w:rFonts w:ascii="Swis721 Lt BT" w:hAnsi="Swis721 Lt BT" w:cs="Arial"/>
          <w:snapToGrid w:val="0"/>
          <w:sz w:val="15"/>
          <w:szCs w:val="15"/>
        </w:rPr>
      </w:pPr>
    </w:p>
    <w:p w:rsidR="00943AA1" w:rsidRPr="00C77523" w:rsidRDefault="00CF4561" w:rsidP="00C77523">
      <w:pPr>
        <w:spacing w:line="240" w:lineRule="exact"/>
        <w:ind w:left="0" w:firstLine="0"/>
        <w:rPr>
          <w:rFonts w:ascii="Swis721 Md BT" w:hAnsi="Swis721 Md BT" w:cs="Arial"/>
          <w:sz w:val="18"/>
          <w:szCs w:val="18"/>
        </w:rPr>
      </w:pPr>
      <w:r w:rsidRPr="00C77523">
        <w:rPr>
          <w:rFonts w:ascii="Swis721 Md BT" w:hAnsi="Swis721 Md BT" w:cs="Arial"/>
          <w:sz w:val="18"/>
          <w:szCs w:val="18"/>
        </w:rPr>
        <w:t>Wertpapierleihe</w:t>
      </w:r>
    </w:p>
    <w:p w:rsidR="00943AA1" w:rsidRPr="006E0EB0" w:rsidRDefault="00943AA1" w:rsidP="00BC150F">
      <w:pPr>
        <w:pStyle w:val="Listenabsatz"/>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Wertpapierleihegeschäfte </w:t>
      </w:r>
      <w:r w:rsidRPr="00983C62">
        <w:rPr>
          <w:rFonts w:ascii="Swis721 Lt BT" w:hAnsi="Swis721 Lt BT" w:cs="Arial"/>
          <w:snapToGrid w:val="0"/>
          <w:sz w:val="15"/>
          <w:szCs w:val="15"/>
        </w:rPr>
        <w:t xml:space="preserve">dürfen </w:t>
      </w:r>
      <w:r w:rsidRPr="00D47147">
        <w:rPr>
          <w:rFonts w:ascii="Swis721 Lt BT" w:hAnsi="Swis721 Lt BT" w:cs="Arial"/>
          <w:b/>
          <w:snapToGrid w:val="0"/>
          <w:sz w:val="15"/>
          <w:szCs w:val="15"/>
        </w:rPr>
        <w:t xml:space="preserve">bis zu 30 </w:t>
      </w:r>
      <w:proofErr w:type="spellStart"/>
      <w:r w:rsidRPr="00D47147">
        <w:rPr>
          <w:rFonts w:ascii="Swis721 Lt BT" w:hAnsi="Swis721 Lt BT" w:cs="Arial"/>
          <w:b/>
          <w:snapToGrid w:val="0"/>
          <w:sz w:val="15"/>
          <w:szCs w:val="15"/>
        </w:rPr>
        <w:t>vH</w:t>
      </w:r>
      <w:proofErr w:type="spellEnd"/>
      <w:r w:rsidRPr="00983C62">
        <w:rPr>
          <w:rFonts w:ascii="Swis721 Lt BT" w:hAnsi="Swis721 Lt BT" w:cs="Arial"/>
          <w:snapToGrid w:val="0"/>
          <w:sz w:val="15"/>
          <w:szCs w:val="15"/>
        </w:rPr>
        <w:t xml:space="preserve"> des Fondsvermögens</w:t>
      </w:r>
      <w:r w:rsidRPr="006E0EB0">
        <w:rPr>
          <w:rFonts w:ascii="Swis721 Lt BT" w:hAnsi="Swis721 Lt BT" w:cs="Arial"/>
          <w:snapToGrid w:val="0"/>
          <w:sz w:val="15"/>
          <w:szCs w:val="15"/>
        </w:rPr>
        <w:t xml:space="preserve"> eingesetzt werden.</w:t>
      </w:r>
    </w:p>
    <w:p w:rsidR="00943AA1" w:rsidRPr="006E0EB0" w:rsidRDefault="00943AA1" w:rsidP="00331E5A">
      <w:pPr>
        <w:tabs>
          <w:tab w:val="num" w:pos="0"/>
        </w:tabs>
        <w:spacing w:line="240" w:lineRule="exact"/>
        <w:ind w:left="0" w:firstLine="0"/>
        <w:rPr>
          <w:rFonts w:ascii="Swis721 Lt BT" w:hAnsi="Swis721 Lt BT" w:cs="Arial"/>
          <w:sz w:val="15"/>
          <w:szCs w:val="15"/>
          <w:highlight w:val="lightGray"/>
          <w:u w:val="single"/>
        </w:rPr>
      </w:pPr>
    </w:p>
    <w:p w:rsidR="00943AA1" w:rsidRPr="00157D36" w:rsidRDefault="00943AA1" w:rsidP="00157D36">
      <w:pPr>
        <w:widowControl w:val="0"/>
        <w:spacing w:line="240" w:lineRule="exact"/>
        <w:ind w:left="0" w:firstLine="0"/>
        <w:rPr>
          <w:rFonts w:ascii="Swis721 Lt BT" w:hAnsi="Swis721 Lt BT" w:cs="Arial"/>
          <w:snapToGrid w:val="0"/>
          <w:sz w:val="15"/>
          <w:szCs w:val="15"/>
        </w:rPr>
      </w:pPr>
      <w:r w:rsidRPr="00157D36">
        <w:rPr>
          <w:rFonts w:ascii="Swis721 Lt BT" w:hAnsi="Swis721 Lt BT" w:cs="Arial"/>
          <w:snapToGrid w:val="0"/>
          <w:sz w:val="15"/>
          <w:szCs w:val="15"/>
        </w:rPr>
        <w:t>Der Erwerb von Veranlagungsinstrumenten ist nur einheitlich für den ganzen Investmentfonds und nicht für eine einzelne Anteilsgattung oder eine Gruppe von Anteilsgattungen zulässig.</w:t>
      </w:r>
    </w:p>
    <w:p w:rsidR="00943AA1" w:rsidRPr="00157D36" w:rsidRDefault="00943AA1" w:rsidP="00157D36">
      <w:pPr>
        <w:widowControl w:val="0"/>
        <w:spacing w:line="240" w:lineRule="exact"/>
        <w:ind w:left="0" w:firstLine="0"/>
        <w:rPr>
          <w:rFonts w:ascii="Swis721 Lt BT" w:hAnsi="Swis721 Lt BT" w:cs="Arial"/>
          <w:snapToGrid w:val="0"/>
          <w:sz w:val="15"/>
          <w:szCs w:val="15"/>
        </w:rPr>
      </w:pPr>
      <w:r w:rsidRPr="00157D36">
        <w:rPr>
          <w:rFonts w:ascii="Swis721 Lt BT" w:hAnsi="Swis721 Lt BT" w:cs="Arial"/>
          <w:snapToGrid w:val="0"/>
          <w:sz w:val="15"/>
          <w:szCs w:val="15"/>
        </w:rPr>
        <w:t xml:space="preserve">Dies gilt jedoch nicht für Währungssicherungsgeschäfte. Diese können auch ausschließlich zugunsten einer einzigen Anteilsgattung abgeschlossen werden. Ausgaben und Einnahmen aufgrund eines Währungssicherungsgeschäfts werden ausschließlich der betreffenden Anteilsgattung zugeordnet. </w:t>
      </w:r>
    </w:p>
    <w:p w:rsidR="00943AA1" w:rsidRDefault="00943AA1" w:rsidP="00331E5A">
      <w:pPr>
        <w:tabs>
          <w:tab w:val="num" w:pos="0"/>
        </w:tabs>
        <w:spacing w:line="240" w:lineRule="exact"/>
        <w:ind w:left="0" w:firstLine="0"/>
        <w:rPr>
          <w:rFonts w:ascii="Swis721 Lt BT" w:hAnsi="Swis721 Lt BT" w:cs="Arial"/>
          <w:sz w:val="15"/>
          <w:szCs w:val="15"/>
        </w:rPr>
      </w:pPr>
    </w:p>
    <w:p w:rsidR="004771C0" w:rsidRPr="00BC150F" w:rsidRDefault="004771C0" w:rsidP="00331E5A">
      <w:pPr>
        <w:tabs>
          <w:tab w:val="num" w:pos="0"/>
        </w:tabs>
        <w:spacing w:line="240" w:lineRule="exact"/>
        <w:ind w:left="0" w:firstLine="0"/>
        <w:rPr>
          <w:rFonts w:ascii="Swis721 Lt BT" w:hAnsi="Swis721 Lt BT" w:cs="Arial"/>
          <w:sz w:val="15"/>
          <w:szCs w:val="15"/>
        </w:rPr>
      </w:pPr>
    </w:p>
    <w:p w:rsidR="00943AA1" w:rsidRPr="004771C0" w:rsidRDefault="006E0EB0" w:rsidP="00331E5A">
      <w:pPr>
        <w:widowControl w:val="0"/>
        <w:suppressLineNumbers/>
        <w:spacing w:line="240" w:lineRule="exact"/>
        <w:ind w:left="0" w:firstLine="0"/>
        <w:rPr>
          <w:rFonts w:ascii="Swis721 Md BT" w:hAnsi="Swis721 Md BT" w:cs="Arial"/>
          <w:b/>
          <w:snapToGrid w:val="0"/>
          <w:sz w:val="20"/>
          <w:szCs w:val="20"/>
        </w:rPr>
      </w:pPr>
      <w:r w:rsidRPr="004771C0">
        <w:rPr>
          <w:rFonts w:ascii="Swis721 Md BT" w:hAnsi="Swis721 Md BT" w:cs="Arial"/>
          <w:b/>
          <w:snapToGrid w:val="0"/>
          <w:sz w:val="20"/>
          <w:szCs w:val="20"/>
        </w:rPr>
        <w:t>Artikel 4</w:t>
      </w:r>
      <w:r w:rsidRPr="004771C0">
        <w:rPr>
          <w:rFonts w:ascii="Swis721 Md BT" w:hAnsi="Swis721 Md BT" w:cs="Arial"/>
          <w:b/>
          <w:snapToGrid w:val="0"/>
          <w:sz w:val="20"/>
          <w:szCs w:val="20"/>
        </w:rPr>
        <w:tab/>
        <w:t>Modalitäten der Ausgabe und Rücknahme</w:t>
      </w:r>
    </w:p>
    <w:p w:rsidR="00CE5502" w:rsidRDefault="00CE5502" w:rsidP="00157D36">
      <w:pPr>
        <w:pStyle w:val="Listenabsatz"/>
        <w:widowControl w:val="0"/>
        <w:tabs>
          <w:tab w:val="left" w:pos="284"/>
        </w:tabs>
        <w:spacing w:line="240" w:lineRule="exact"/>
        <w:ind w:left="0" w:firstLine="0"/>
        <w:rPr>
          <w:rFonts w:ascii="Swis721 Lt BT" w:hAnsi="Swis721 Lt BT" w:cs="Arial"/>
          <w:snapToGrid w:val="0"/>
          <w:sz w:val="15"/>
          <w:szCs w:val="15"/>
        </w:rPr>
      </w:pPr>
    </w:p>
    <w:p w:rsidR="001A6D0D" w:rsidRDefault="00943AA1" w:rsidP="00157D36">
      <w:pPr>
        <w:pStyle w:val="Listenabsatz"/>
        <w:widowControl w:val="0"/>
        <w:tabs>
          <w:tab w:val="left" w:pos="284"/>
        </w:tabs>
        <w:spacing w:line="240" w:lineRule="exact"/>
        <w:ind w:left="0" w:firstLine="0"/>
        <w:rPr>
          <w:rFonts w:ascii="Swis721 Lt BT" w:hAnsi="Swis721 Lt BT" w:cs="Arial"/>
          <w:snapToGrid w:val="0"/>
          <w:sz w:val="15"/>
          <w:szCs w:val="15"/>
        </w:rPr>
      </w:pPr>
      <w:r w:rsidRPr="00DD525C">
        <w:rPr>
          <w:rFonts w:ascii="Swis721 Lt BT" w:hAnsi="Swis721 Lt BT" w:cs="Arial"/>
          <w:snapToGrid w:val="0"/>
          <w:sz w:val="15"/>
          <w:szCs w:val="15"/>
        </w:rPr>
        <w:t>Die Berechnung des Anteilswertes erfolgt in EUR</w:t>
      </w:r>
      <w:r w:rsidR="00142447" w:rsidRPr="00DD525C">
        <w:rPr>
          <w:rFonts w:ascii="Swis721 Lt BT" w:hAnsi="Swis721 Lt BT" w:cs="Arial"/>
          <w:snapToGrid w:val="0"/>
          <w:sz w:val="15"/>
          <w:szCs w:val="15"/>
        </w:rPr>
        <w:t xml:space="preserve"> </w:t>
      </w:r>
      <w:r w:rsidR="00736353" w:rsidRPr="00DD525C">
        <w:rPr>
          <w:rFonts w:ascii="Swis721 Lt BT" w:hAnsi="Swis721 Lt BT" w:cs="Arial"/>
          <w:snapToGrid w:val="0"/>
          <w:sz w:val="15"/>
          <w:szCs w:val="15"/>
        </w:rPr>
        <w:t xml:space="preserve">oder in </w:t>
      </w:r>
      <w:r w:rsidRPr="00DD525C">
        <w:rPr>
          <w:rFonts w:ascii="Swis721 Lt BT" w:hAnsi="Swis721 Lt BT" w:cs="Arial"/>
          <w:snapToGrid w:val="0"/>
          <w:sz w:val="15"/>
          <w:szCs w:val="15"/>
        </w:rPr>
        <w:t>der Währung der jeweiligen Anteilsgattung</w:t>
      </w:r>
      <w:r w:rsidR="00CD7C11" w:rsidRPr="00DD525C">
        <w:rPr>
          <w:rFonts w:ascii="Swis721 Lt BT" w:hAnsi="Swis721 Lt BT" w:cs="Arial"/>
          <w:snapToGrid w:val="0"/>
          <w:sz w:val="15"/>
          <w:szCs w:val="15"/>
        </w:rPr>
        <w:t>.</w:t>
      </w:r>
      <w:r w:rsidR="00CD7C11">
        <w:rPr>
          <w:rFonts w:ascii="Swis721 Lt BT" w:hAnsi="Swis721 Lt BT" w:cs="Arial"/>
          <w:snapToGrid w:val="0"/>
          <w:sz w:val="15"/>
          <w:szCs w:val="15"/>
        </w:rPr>
        <w:t xml:space="preserve"> </w:t>
      </w:r>
    </w:p>
    <w:p w:rsidR="00943AA1" w:rsidRDefault="00943AA1" w:rsidP="00331E5A">
      <w:pPr>
        <w:pStyle w:val="Listenabsatz"/>
        <w:widowControl w:val="0"/>
        <w:tabs>
          <w:tab w:val="left" w:pos="284"/>
        </w:tabs>
        <w:spacing w:line="240" w:lineRule="exact"/>
        <w:ind w:left="0" w:firstLine="0"/>
        <w:rPr>
          <w:rFonts w:ascii="Swis721 Lt BT" w:hAnsi="Swis721 Lt BT" w:cs="Arial"/>
          <w:snapToGrid w:val="0"/>
          <w:sz w:val="15"/>
          <w:szCs w:val="15"/>
        </w:rPr>
      </w:pPr>
    </w:p>
    <w:p w:rsidR="00943AA1" w:rsidRDefault="003E253C" w:rsidP="00331E5A">
      <w:pPr>
        <w:pStyle w:val="Listenabsatz"/>
        <w:widowControl w:val="0"/>
        <w:tabs>
          <w:tab w:val="left" w:pos="284"/>
        </w:tabs>
        <w:spacing w:line="240" w:lineRule="exact"/>
        <w:ind w:left="0" w:firstLine="0"/>
        <w:rPr>
          <w:rFonts w:ascii="Swis721 Lt BT" w:hAnsi="Swis721 Lt BT" w:cs="Arial"/>
          <w:snapToGrid w:val="0"/>
          <w:sz w:val="15"/>
          <w:szCs w:val="15"/>
        </w:rPr>
      </w:pPr>
      <w:r w:rsidRPr="008614EA">
        <w:rPr>
          <w:rFonts w:ascii="Swis721 Lt BT" w:hAnsi="Swis721 Lt BT" w:cs="Arial"/>
          <w:snapToGrid w:val="0"/>
          <w:sz w:val="15"/>
          <w:szCs w:val="15"/>
        </w:rPr>
        <w:t xml:space="preserve">Der Wert der Anteile wird </w:t>
      </w:r>
      <w:r w:rsidR="00C77523" w:rsidRPr="008614EA">
        <w:rPr>
          <w:rFonts w:ascii="Swis721 Lt BT" w:hAnsi="Swis721 Lt BT" w:cs="Arial"/>
          <w:snapToGrid w:val="0"/>
          <w:sz w:val="15"/>
          <w:szCs w:val="15"/>
        </w:rPr>
        <w:t>börse</w:t>
      </w:r>
      <w:r w:rsidR="00CE1C44" w:rsidRPr="008614EA">
        <w:rPr>
          <w:rFonts w:ascii="Swis721 Lt BT" w:hAnsi="Swis721 Lt BT" w:cs="Arial"/>
          <w:snapToGrid w:val="0"/>
          <w:sz w:val="15"/>
          <w:szCs w:val="15"/>
        </w:rPr>
        <w:t>n</w:t>
      </w:r>
      <w:r w:rsidR="00C77523" w:rsidRPr="008614EA">
        <w:rPr>
          <w:rFonts w:ascii="Swis721 Lt BT" w:hAnsi="Swis721 Lt BT" w:cs="Arial"/>
          <w:snapToGrid w:val="0"/>
          <w:sz w:val="15"/>
          <w:szCs w:val="15"/>
        </w:rPr>
        <w:t xml:space="preserve">täglich </w:t>
      </w:r>
      <w:r w:rsidRPr="008614EA">
        <w:rPr>
          <w:rFonts w:ascii="Swis721 Lt BT" w:hAnsi="Swis721 Lt BT" w:cs="Arial"/>
          <w:snapToGrid w:val="0"/>
          <w:sz w:val="15"/>
          <w:szCs w:val="15"/>
        </w:rPr>
        <w:t>ermittelt.</w:t>
      </w:r>
    </w:p>
    <w:p w:rsidR="005600E5" w:rsidRDefault="005600E5" w:rsidP="005600E5">
      <w:pPr>
        <w:spacing w:line="240" w:lineRule="atLeast"/>
        <w:ind w:left="0" w:firstLine="0"/>
        <w:rPr>
          <w:rFonts w:ascii="Swis721 Lt BT" w:hAnsi="Swis721 Lt BT" w:cs="Arial"/>
          <w:sz w:val="15"/>
          <w:szCs w:val="15"/>
          <w:highlight w:val="cyan"/>
        </w:rPr>
      </w:pPr>
    </w:p>
    <w:p w:rsidR="00CA07CA" w:rsidRPr="00C77523" w:rsidRDefault="00CA07CA" w:rsidP="00C77523">
      <w:pPr>
        <w:spacing w:line="240" w:lineRule="exact"/>
        <w:ind w:left="0" w:firstLine="0"/>
        <w:rPr>
          <w:rFonts w:ascii="Swis721 Md BT" w:hAnsi="Swis721 Md BT" w:cs="Arial"/>
          <w:sz w:val="18"/>
          <w:szCs w:val="18"/>
        </w:rPr>
      </w:pPr>
      <w:r w:rsidRPr="00C77523">
        <w:rPr>
          <w:rFonts w:ascii="Swis721 Md BT" w:hAnsi="Swis721 Md BT" w:cs="Arial"/>
          <w:sz w:val="18"/>
          <w:szCs w:val="18"/>
        </w:rPr>
        <w:t>Ausgabe und Ausgabeaufschlag</w:t>
      </w:r>
    </w:p>
    <w:p w:rsidR="008614EA" w:rsidRDefault="00561717" w:rsidP="00561717">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Die</w:t>
      </w:r>
      <w:r w:rsidR="00A54495">
        <w:rPr>
          <w:rFonts w:ascii="Swis721 Lt BT" w:hAnsi="Swis721 Lt BT" w:cs="Arial"/>
          <w:snapToGrid w:val="0"/>
          <w:sz w:val="15"/>
          <w:szCs w:val="15"/>
        </w:rPr>
        <w:t xml:space="preserve"> </w:t>
      </w:r>
      <w:r w:rsidRPr="006E0EB0">
        <w:rPr>
          <w:rFonts w:ascii="Swis721 Lt BT" w:hAnsi="Swis721 Lt BT" w:cs="Arial"/>
          <w:snapToGrid w:val="0"/>
          <w:sz w:val="15"/>
          <w:szCs w:val="15"/>
        </w:rPr>
        <w:t xml:space="preserve">Ausgabe erfolgt </w:t>
      </w:r>
      <w:r w:rsidRPr="0021093A">
        <w:rPr>
          <w:rFonts w:ascii="Swis721 Lt BT" w:hAnsi="Swis721 Lt BT" w:cs="Arial"/>
          <w:snapToGrid w:val="0"/>
          <w:sz w:val="15"/>
          <w:szCs w:val="15"/>
        </w:rPr>
        <w:t>zu jedem Bankarbeitstag</w:t>
      </w:r>
      <w:r w:rsidR="008614EA">
        <w:rPr>
          <w:rFonts w:ascii="Swis721 Lt BT" w:hAnsi="Swis721 Lt BT" w:cs="Arial"/>
          <w:snapToGrid w:val="0"/>
          <w:sz w:val="15"/>
          <w:szCs w:val="15"/>
        </w:rPr>
        <w:t>.</w:t>
      </w:r>
    </w:p>
    <w:p w:rsidR="00D10D20" w:rsidRPr="008614EA" w:rsidRDefault="00D10D20" w:rsidP="00331E5A">
      <w:pPr>
        <w:widowControl w:val="0"/>
        <w:spacing w:line="240" w:lineRule="exact"/>
        <w:ind w:left="0" w:firstLine="0"/>
        <w:rPr>
          <w:rFonts w:ascii="Swis721 Lt BT" w:hAnsi="Swis721 Lt BT" w:cs="Arial"/>
          <w:sz w:val="15"/>
          <w:szCs w:val="15"/>
        </w:rPr>
      </w:pPr>
    </w:p>
    <w:p w:rsidR="00943AA1"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Der Ausgabepreis ergibt sich aus dem Anteilswert zuzüglich eines Aufschlages pro Anteil in Höhe von </w:t>
      </w:r>
      <w:r w:rsidRPr="00D47147">
        <w:rPr>
          <w:rFonts w:ascii="Swis721 Lt BT" w:hAnsi="Swis721 Lt BT" w:cs="Arial"/>
          <w:b/>
          <w:snapToGrid w:val="0"/>
          <w:sz w:val="15"/>
          <w:szCs w:val="15"/>
        </w:rPr>
        <w:t xml:space="preserve">bis </w:t>
      </w:r>
      <w:r w:rsidRPr="0001333C">
        <w:rPr>
          <w:rFonts w:ascii="Swis721 Lt BT" w:hAnsi="Swis721 Lt BT" w:cs="Arial"/>
          <w:b/>
          <w:snapToGrid w:val="0"/>
          <w:sz w:val="15"/>
          <w:szCs w:val="15"/>
        </w:rPr>
        <w:t xml:space="preserve">zu </w:t>
      </w:r>
      <w:r w:rsidR="00DD525C">
        <w:rPr>
          <w:rFonts w:ascii="Swis721 Lt BT" w:hAnsi="Swis721 Lt BT" w:cs="Arial"/>
          <w:b/>
          <w:snapToGrid w:val="0"/>
          <w:sz w:val="15"/>
          <w:szCs w:val="15"/>
        </w:rPr>
        <w:t>2,50</w:t>
      </w:r>
      <w:r w:rsidRPr="0001333C">
        <w:rPr>
          <w:rFonts w:ascii="Swis721 Lt BT" w:hAnsi="Swis721 Lt BT" w:cs="Arial"/>
          <w:snapToGrid w:val="0"/>
          <w:sz w:val="15"/>
          <w:szCs w:val="15"/>
        </w:rPr>
        <w:t xml:space="preserve"> </w:t>
      </w:r>
      <w:proofErr w:type="spellStart"/>
      <w:r w:rsidRPr="0001333C">
        <w:rPr>
          <w:rFonts w:ascii="Swis721 Lt BT" w:hAnsi="Swis721 Lt BT" w:cs="Arial"/>
          <w:b/>
          <w:snapToGrid w:val="0"/>
          <w:sz w:val="15"/>
          <w:szCs w:val="15"/>
        </w:rPr>
        <w:t>vH</w:t>
      </w:r>
      <w:proofErr w:type="spellEnd"/>
      <w:r w:rsidRPr="00CE5502">
        <w:rPr>
          <w:rFonts w:ascii="Swis721 Lt BT" w:hAnsi="Swis721 Lt BT" w:cs="Arial"/>
          <w:snapToGrid w:val="0"/>
          <w:sz w:val="15"/>
          <w:szCs w:val="15"/>
        </w:rPr>
        <w:t xml:space="preserve"> zur Deckung der Ausgabekos</w:t>
      </w:r>
      <w:r w:rsidR="001F2316">
        <w:rPr>
          <w:rFonts w:ascii="Swis721 Lt BT" w:hAnsi="Swis721 Lt BT" w:cs="Arial"/>
          <w:snapToGrid w:val="0"/>
          <w:sz w:val="15"/>
          <w:szCs w:val="15"/>
        </w:rPr>
        <w:t>ten der Verwaltungsgesellschaft.</w:t>
      </w:r>
    </w:p>
    <w:p w:rsidR="001F2316" w:rsidRPr="006E0EB0" w:rsidRDefault="001F2316" w:rsidP="00331E5A">
      <w:pPr>
        <w:widowControl w:val="0"/>
        <w:spacing w:line="240" w:lineRule="exact"/>
        <w:ind w:left="0" w:firstLine="0"/>
        <w:rPr>
          <w:rFonts w:ascii="Swis721 Lt BT" w:hAnsi="Swis721 Lt BT" w:cs="Arial"/>
          <w:snapToGrid w:val="0"/>
          <w:sz w:val="15"/>
          <w:szCs w:val="15"/>
        </w:rPr>
      </w:pPr>
    </w:p>
    <w:p w:rsidR="00CA07CA"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Die Ausgabe der Anteile ist grundsätzlich nicht beschränkt, die Verwaltungsgesellschaft behält sich jedoch vor, die Ausgabe von Anteilscheinen vorübergehend oder vollständig einzustellen.</w:t>
      </w:r>
    </w:p>
    <w:p w:rsidR="00CA07CA" w:rsidRDefault="00CA07CA" w:rsidP="00331E5A">
      <w:pPr>
        <w:widowControl w:val="0"/>
        <w:spacing w:line="240" w:lineRule="exact"/>
        <w:ind w:left="0" w:firstLine="0"/>
        <w:rPr>
          <w:rFonts w:ascii="Swis721 Lt BT" w:hAnsi="Swis721 Lt BT" w:cs="Arial"/>
          <w:snapToGrid w:val="0"/>
          <w:sz w:val="15"/>
          <w:szCs w:val="15"/>
        </w:rPr>
      </w:pPr>
    </w:p>
    <w:p w:rsidR="001A6D0D" w:rsidRDefault="0021093A" w:rsidP="00331E5A">
      <w:pPr>
        <w:widowControl w:val="0"/>
        <w:spacing w:line="240" w:lineRule="exact"/>
        <w:ind w:left="0" w:firstLine="0"/>
        <w:rPr>
          <w:rFonts w:ascii="Swis721 Lt BT" w:hAnsi="Swis721 Lt BT" w:cs="Arial"/>
          <w:snapToGrid w:val="0"/>
          <w:sz w:val="15"/>
          <w:szCs w:val="15"/>
        </w:rPr>
      </w:pPr>
      <w:r>
        <w:rPr>
          <w:rFonts w:ascii="Swis721 Lt BT" w:hAnsi="Swis721 Lt BT" w:cs="Arial"/>
          <w:snapToGrid w:val="0"/>
          <w:sz w:val="15"/>
          <w:szCs w:val="15"/>
        </w:rPr>
        <w:t xml:space="preserve">Es liegt im Ermessen der Verwaltungsgesellschaft, eine Staffelung des Ausgabeaufschlags vorzunehmen. </w:t>
      </w:r>
    </w:p>
    <w:p w:rsidR="0021093A" w:rsidRPr="00CA07CA" w:rsidRDefault="0021093A" w:rsidP="00331E5A">
      <w:pPr>
        <w:widowControl w:val="0"/>
        <w:spacing w:line="240" w:lineRule="exact"/>
        <w:ind w:left="0" w:firstLine="0"/>
        <w:rPr>
          <w:rFonts w:ascii="Swis721 Lt BT" w:hAnsi="Swis721 Lt BT" w:cs="Arial"/>
          <w:snapToGrid w:val="0"/>
          <w:sz w:val="15"/>
          <w:szCs w:val="15"/>
        </w:rPr>
      </w:pPr>
    </w:p>
    <w:p w:rsidR="00CA07CA" w:rsidRPr="00C77523" w:rsidRDefault="00CA07CA" w:rsidP="00C77523">
      <w:pPr>
        <w:spacing w:line="240" w:lineRule="exact"/>
        <w:ind w:left="0" w:firstLine="0"/>
        <w:rPr>
          <w:rFonts w:ascii="Swis721 Md BT" w:hAnsi="Swis721 Md BT" w:cs="Arial"/>
          <w:sz w:val="18"/>
          <w:szCs w:val="18"/>
        </w:rPr>
      </w:pPr>
      <w:r w:rsidRPr="00C77523">
        <w:rPr>
          <w:rFonts w:ascii="Swis721 Md BT" w:hAnsi="Swis721 Md BT" w:cs="Arial"/>
          <w:sz w:val="18"/>
          <w:szCs w:val="18"/>
        </w:rPr>
        <w:t>Rücknahme und Rücknahmeabschlag</w:t>
      </w:r>
    </w:p>
    <w:p w:rsidR="008614EA" w:rsidRDefault="00474A12" w:rsidP="008A453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Die</w:t>
      </w:r>
      <w:r w:rsidR="00A54495">
        <w:rPr>
          <w:rFonts w:ascii="Swis721 Lt BT" w:hAnsi="Swis721 Lt BT" w:cs="Arial"/>
          <w:snapToGrid w:val="0"/>
          <w:sz w:val="15"/>
          <w:szCs w:val="15"/>
        </w:rPr>
        <w:t xml:space="preserve"> </w:t>
      </w:r>
      <w:r w:rsidRPr="006E0EB0">
        <w:rPr>
          <w:rFonts w:ascii="Swis721 Lt BT" w:hAnsi="Swis721 Lt BT" w:cs="Arial"/>
          <w:snapToGrid w:val="0"/>
          <w:sz w:val="15"/>
          <w:szCs w:val="15"/>
        </w:rPr>
        <w:t xml:space="preserve">Rücknahme erfolgt </w:t>
      </w:r>
      <w:r w:rsidR="00137A40" w:rsidRPr="0021093A">
        <w:rPr>
          <w:rFonts w:ascii="Swis721 Lt BT" w:hAnsi="Swis721 Lt BT" w:cs="Arial"/>
          <w:snapToGrid w:val="0"/>
          <w:sz w:val="15"/>
          <w:szCs w:val="15"/>
        </w:rPr>
        <w:t>zu jedem Bankarbeitstag</w:t>
      </w:r>
      <w:r w:rsidR="008614EA">
        <w:rPr>
          <w:rFonts w:ascii="Swis721 Lt BT" w:hAnsi="Swis721 Lt BT" w:cs="Arial"/>
          <w:snapToGrid w:val="0"/>
          <w:sz w:val="15"/>
          <w:szCs w:val="15"/>
        </w:rPr>
        <w:t>.</w:t>
      </w:r>
      <w:r w:rsidR="00137A40" w:rsidRPr="0021093A">
        <w:rPr>
          <w:rFonts w:ascii="Swis721 Lt BT" w:hAnsi="Swis721 Lt BT" w:cs="Arial"/>
          <w:snapToGrid w:val="0"/>
          <w:sz w:val="15"/>
          <w:szCs w:val="15"/>
        </w:rPr>
        <w:t xml:space="preserve"> </w:t>
      </w:r>
    </w:p>
    <w:p w:rsidR="00A54495" w:rsidRDefault="00A54495" w:rsidP="00474A12">
      <w:pPr>
        <w:widowControl w:val="0"/>
        <w:spacing w:line="240" w:lineRule="exact"/>
        <w:ind w:left="0" w:firstLine="0"/>
        <w:rPr>
          <w:rFonts w:ascii="Swis721 Lt BT" w:hAnsi="Swis721 Lt BT" w:cs="Arial"/>
          <w:snapToGrid w:val="0"/>
          <w:sz w:val="15"/>
          <w:szCs w:val="15"/>
        </w:rPr>
      </w:pPr>
    </w:p>
    <w:p w:rsidR="00CF7728" w:rsidRDefault="00943AA1" w:rsidP="00DD525C">
      <w:pPr>
        <w:tabs>
          <w:tab w:val="num" w:pos="0"/>
        </w:tabs>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Der Rücknahmepreis </w:t>
      </w:r>
      <w:r w:rsidR="00DD525C">
        <w:rPr>
          <w:rFonts w:ascii="Swis721 Lt BT" w:hAnsi="Swis721 Lt BT" w:cs="Arial"/>
          <w:snapToGrid w:val="0"/>
          <w:sz w:val="15"/>
          <w:szCs w:val="15"/>
        </w:rPr>
        <w:t xml:space="preserve">ergibt sich aus dem Anteilswert. </w:t>
      </w:r>
      <w:r w:rsidR="00CF7728" w:rsidRPr="003622A1">
        <w:rPr>
          <w:rFonts w:ascii="Swis721 Lt BT" w:hAnsi="Swis721 Lt BT" w:cs="Arial"/>
          <w:snapToGrid w:val="0"/>
          <w:sz w:val="15"/>
          <w:szCs w:val="15"/>
        </w:rPr>
        <w:t>Es fä</w:t>
      </w:r>
      <w:r w:rsidR="00E903BA">
        <w:rPr>
          <w:rFonts w:ascii="Swis721 Lt BT" w:hAnsi="Swis721 Lt BT" w:cs="Arial"/>
          <w:snapToGrid w:val="0"/>
          <w:sz w:val="15"/>
          <w:szCs w:val="15"/>
        </w:rPr>
        <w:t>llt</w:t>
      </w:r>
      <w:r w:rsidR="0024049F" w:rsidRPr="003622A1">
        <w:rPr>
          <w:rFonts w:ascii="Swis721 Lt BT" w:hAnsi="Swis721 Lt BT" w:cs="Arial"/>
          <w:snapToGrid w:val="0"/>
          <w:sz w:val="15"/>
          <w:szCs w:val="15"/>
        </w:rPr>
        <w:t xml:space="preserve"> kein</w:t>
      </w:r>
      <w:r w:rsidR="003C3ED3" w:rsidRPr="003622A1">
        <w:rPr>
          <w:rFonts w:ascii="Swis721 Lt BT" w:hAnsi="Swis721 Lt BT" w:cs="Arial"/>
          <w:snapToGrid w:val="0"/>
          <w:sz w:val="15"/>
          <w:szCs w:val="15"/>
        </w:rPr>
        <w:t xml:space="preserve"> Rücknahmeabschlag an.</w:t>
      </w:r>
    </w:p>
    <w:p w:rsidR="00E903BA" w:rsidRDefault="00E903BA" w:rsidP="00331E5A">
      <w:pPr>
        <w:widowControl w:val="0"/>
        <w:spacing w:line="240" w:lineRule="exact"/>
        <w:ind w:left="0" w:firstLine="0"/>
        <w:rPr>
          <w:rFonts w:ascii="Swis721 Lt BT" w:hAnsi="Swis721 Lt BT" w:cs="Arial"/>
          <w:snapToGrid w:val="0"/>
          <w:sz w:val="15"/>
          <w:szCs w:val="15"/>
        </w:rPr>
      </w:pP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Auf Verlangen eines Anteilinhabers ist diesem sein Anteil an dem Investmentfonds zum jeweiligen Rücknahmepreis gegen Rückgabe des Anteilscheines sowie der noch nicht fälligen </w:t>
      </w:r>
      <w:proofErr w:type="spellStart"/>
      <w:r w:rsidRPr="006E0EB0">
        <w:rPr>
          <w:rFonts w:ascii="Swis721 Lt BT" w:hAnsi="Swis721 Lt BT" w:cs="Arial"/>
          <w:snapToGrid w:val="0"/>
          <w:sz w:val="15"/>
          <w:szCs w:val="15"/>
        </w:rPr>
        <w:t>Erträgnisscheine</w:t>
      </w:r>
      <w:proofErr w:type="spellEnd"/>
      <w:r w:rsidRPr="006E0EB0">
        <w:rPr>
          <w:rFonts w:ascii="Swis721 Lt BT" w:hAnsi="Swis721 Lt BT" w:cs="Arial"/>
          <w:snapToGrid w:val="0"/>
          <w:sz w:val="15"/>
          <w:szCs w:val="15"/>
        </w:rPr>
        <w:t xml:space="preserve"> und des Erneuerungsscheines</w:t>
      </w:r>
      <w:r w:rsidR="00474A12">
        <w:rPr>
          <w:rFonts w:ascii="Swis721 Lt BT" w:hAnsi="Swis721 Lt BT" w:cs="Arial"/>
          <w:snapToGrid w:val="0"/>
          <w:sz w:val="15"/>
          <w:szCs w:val="15"/>
        </w:rPr>
        <w:t xml:space="preserve"> </w:t>
      </w:r>
      <w:r w:rsidRPr="006E0EB0">
        <w:rPr>
          <w:rFonts w:ascii="Swis721 Lt BT" w:hAnsi="Swis721 Lt BT" w:cs="Arial"/>
          <w:snapToGrid w:val="0"/>
          <w:sz w:val="15"/>
          <w:szCs w:val="15"/>
        </w:rPr>
        <w:t>auszuzahlen</w:t>
      </w:r>
      <w:r w:rsidRPr="006E0EB0">
        <w:rPr>
          <w:rFonts w:ascii="Swis721 Lt BT" w:hAnsi="Swis721 Lt BT" w:cs="Arial"/>
          <w:snapToGrid w:val="0"/>
          <w:color w:val="FF0000"/>
          <w:sz w:val="15"/>
          <w:szCs w:val="15"/>
        </w:rPr>
        <w:t>.</w:t>
      </w:r>
    </w:p>
    <w:p w:rsidR="00943AA1" w:rsidRDefault="00943AA1" w:rsidP="00331E5A">
      <w:pPr>
        <w:widowControl w:val="0"/>
        <w:spacing w:line="240" w:lineRule="exact"/>
        <w:ind w:left="0" w:firstLine="0"/>
        <w:rPr>
          <w:rFonts w:ascii="Swis721 Lt BT" w:hAnsi="Swis721 Lt BT" w:cs="Arial"/>
          <w:snapToGrid w:val="0"/>
          <w:sz w:val="15"/>
          <w:szCs w:val="15"/>
        </w:rPr>
      </w:pPr>
    </w:p>
    <w:p w:rsidR="004771C0" w:rsidRDefault="004771C0" w:rsidP="00331E5A">
      <w:pPr>
        <w:tabs>
          <w:tab w:val="num" w:pos="0"/>
        </w:tabs>
        <w:spacing w:line="240" w:lineRule="exact"/>
        <w:ind w:left="0" w:firstLine="0"/>
        <w:rPr>
          <w:rFonts w:ascii="Swis721 Lt BT" w:hAnsi="Swis721 Lt BT" w:cs="Arial"/>
          <w:snapToGrid w:val="0"/>
          <w:sz w:val="15"/>
          <w:szCs w:val="15"/>
        </w:rPr>
      </w:pPr>
    </w:p>
    <w:p w:rsidR="006E0EB0" w:rsidRPr="004771C0" w:rsidRDefault="006E0EB0" w:rsidP="00A4124A">
      <w:pPr>
        <w:widowControl w:val="0"/>
        <w:suppressLineNumbers/>
        <w:spacing w:line="240" w:lineRule="exact"/>
        <w:ind w:left="0" w:firstLine="0"/>
        <w:rPr>
          <w:rFonts w:ascii="Swis721 Md BT" w:hAnsi="Swis721 Md BT" w:cs="Arial"/>
          <w:b/>
          <w:snapToGrid w:val="0"/>
          <w:sz w:val="20"/>
          <w:szCs w:val="20"/>
        </w:rPr>
      </w:pPr>
      <w:r w:rsidRPr="004771C0">
        <w:rPr>
          <w:rFonts w:ascii="Swis721 Md BT" w:hAnsi="Swis721 Md BT" w:cs="Arial"/>
          <w:b/>
          <w:snapToGrid w:val="0"/>
          <w:sz w:val="20"/>
          <w:szCs w:val="20"/>
        </w:rPr>
        <w:t>Artikel 5</w:t>
      </w:r>
      <w:r w:rsidRPr="004771C0">
        <w:rPr>
          <w:rFonts w:ascii="Swis721 Md BT" w:hAnsi="Swis721 Md BT" w:cs="Arial"/>
          <w:b/>
          <w:snapToGrid w:val="0"/>
          <w:sz w:val="20"/>
          <w:szCs w:val="20"/>
        </w:rPr>
        <w:tab/>
        <w:t>Rechnungsjahr</w:t>
      </w:r>
    </w:p>
    <w:p w:rsidR="00CE5502" w:rsidRDefault="00CE5502" w:rsidP="00331E5A">
      <w:pPr>
        <w:tabs>
          <w:tab w:val="num" w:pos="0"/>
        </w:tabs>
        <w:spacing w:line="240" w:lineRule="exact"/>
        <w:ind w:left="0" w:firstLine="0"/>
        <w:rPr>
          <w:rFonts w:ascii="Swis721 Lt BT" w:hAnsi="Swis721 Lt BT" w:cs="Arial"/>
          <w:sz w:val="15"/>
          <w:szCs w:val="15"/>
        </w:rPr>
      </w:pPr>
    </w:p>
    <w:p w:rsidR="00943AA1" w:rsidRPr="006E0EB0" w:rsidRDefault="001D4D77" w:rsidP="00331E5A">
      <w:pPr>
        <w:tabs>
          <w:tab w:val="num" w:pos="0"/>
        </w:tabs>
        <w:spacing w:line="240" w:lineRule="exact"/>
        <w:ind w:left="0" w:firstLine="0"/>
        <w:rPr>
          <w:rFonts w:ascii="Swis721 Lt BT" w:hAnsi="Swis721 Lt BT" w:cs="Arial"/>
          <w:sz w:val="15"/>
          <w:szCs w:val="15"/>
        </w:rPr>
      </w:pPr>
      <w:r>
        <w:rPr>
          <w:rFonts w:ascii="Swis721 Lt BT" w:hAnsi="Swis721 Lt BT" w:cs="Arial"/>
          <w:snapToGrid w:val="0"/>
          <w:sz w:val="15"/>
          <w:szCs w:val="15"/>
        </w:rPr>
        <w:t>D</w:t>
      </w:r>
      <w:r w:rsidR="00943AA1" w:rsidRPr="006E0EB0">
        <w:rPr>
          <w:rFonts w:ascii="Swis721 Lt BT" w:hAnsi="Swis721 Lt BT" w:cs="Arial"/>
          <w:snapToGrid w:val="0"/>
          <w:sz w:val="15"/>
          <w:szCs w:val="15"/>
        </w:rPr>
        <w:t xml:space="preserve">as Rechnungsjahr des Investmentfonds ist die Zeit vom </w:t>
      </w:r>
      <w:r w:rsidR="00DD525C">
        <w:rPr>
          <w:rFonts w:ascii="Swis721 Lt BT" w:hAnsi="Swis721 Lt BT" w:cs="Arial"/>
          <w:snapToGrid w:val="0"/>
          <w:sz w:val="15"/>
          <w:szCs w:val="15"/>
        </w:rPr>
        <w:t>01. September</w:t>
      </w:r>
      <w:r w:rsidR="00943AA1" w:rsidRPr="006E0EB0">
        <w:rPr>
          <w:rFonts w:ascii="Swis721 Lt BT" w:hAnsi="Swis721 Lt BT" w:cs="Arial"/>
          <w:snapToGrid w:val="0"/>
          <w:sz w:val="15"/>
          <w:szCs w:val="15"/>
        </w:rPr>
        <w:t xml:space="preserve">. bis zum </w:t>
      </w:r>
      <w:r w:rsidR="00DD525C">
        <w:rPr>
          <w:rFonts w:ascii="Swis721 Lt BT" w:hAnsi="Swis721 Lt BT" w:cs="Arial"/>
          <w:snapToGrid w:val="0"/>
          <w:sz w:val="15"/>
          <w:szCs w:val="15"/>
        </w:rPr>
        <w:t>31. August</w:t>
      </w:r>
      <w:r w:rsidR="00943AA1" w:rsidRPr="006E0EB0">
        <w:rPr>
          <w:rFonts w:ascii="Swis721 Lt BT" w:hAnsi="Swis721 Lt BT" w:cs="Arial"/>
          <w:snapToGrid w:val="0"/>
          <w:sz w:val="15"/>
          <w:szCs w:val="15"/>
        </w:rPr>
        <w:t>.</w:t>
      </w:r>
    </w:p>
    <w:p w:rsidR="002D3131" w:rsidRDefault="002D3131" w:rsidP="00331E5A">
      <w:pPr>
        <w:widowControl w:val="0"/>
        <w:spacing w:line="240" w:lineRule="exact"/>
        <w:ind w:left="0" w:firstLine="0"/>
        <w:rPr>
          <w:rFonts w:ascii="Swis721 Lt BT" w:hAnsi="Swis721 Lt BT" w:cs="Arial"/>
          <w:sz w:val="15"/>
          <w:szCs w:val="15"/>
        </w:rPr>
      </w:pPr>
    </w:p>
    <w:p w:rsidR="004771C0" w:rsidRDefault="004771C0" w:rsidP="00331E5A">
      <w:pPr>
        <w:widowControl w:val="0"/>
        <w:spacing w:line="240" w:lineRule="exact"/>
        <w:ind w:left="0" w:firstLine="0"/>
        <w:rPr>
          <w:rFonts w:ascii="Swis721 Lt BT" w:hAnsi="Swis721 Lt BT" w:cs="Arial"/>
          <w:sz w:val="15"/>
          <w:szCs w:val="15"/>
        </w:rPr>
      </w:pPr>
    </w:p>
    <w:p w:rsidR="009C79A8" w:rsidRPr="004771C0" w:rsidRDefault="006E0EB0" w:rsidP="008C7C19">
      <w:pPr>
        <w:widowControl w:val="0"/>
        <w:suppressLineNumbers/>
        <w:spacing w:line="240" w:lineRule="exact"/>
        <w:ind w:left="0" w:firstLine="0"/>
        <w:rPr>
          <w:rFonts w:ascii="Swis721 Md BT" w:hAnsi="Swis721 Md BT" w:cs="Arial"/>
          <w:b/>
          <w:snapToGrid w:val="0"/>
        </w:rPr>
      </w:pPr>
      <w:r w:rsidRPr="004771C0">
        <w:rPr>
          <w:rFonts w:ascii="Swis721 Md BT" w:hAnsi="Swis721 Md BT" w:cs="Arial"/>
          <w:b/>
          <w:snapToGrid w:val="0"/>
        </w:rPr>
        <w:t>Artikel 6</w:t>
      </w:r>
      <w:r w:rsidRPr="004771C0">
        <w:rPr>
          <w:rFonts w:ascii="Swis721 Md BT" w:hAnsi="Swis721 Md BT" w:cs="Arial"/>
          <w:b/>
          <w:snapToGrid w:val="0"/>
        </w:rPr>
        <w:tab/>
        <w:t xml:space="preserve">Anteilsgattungen und </w:t>
      </w:r>
      <w:proofErr w:type="spellStart"/>
      <w:r w:rsidRPr="004771C0">
        <w:rPr>
          <w:rFonts w:ascii="Swis721 Md BT" w:hAnsi="Swis721 Md BT" w:cs="Arial"/>
          <w:b/>
          <w:snapToGrid w:val="0"/>
        </w:rPr>
        <w:t>Erträgnisverwendung</w:t>
      </w:r>
      <w:proofErr w:type="spellEnd"/>
    </w:p>
    <w:p w:rsidR="00CE5502" w:rsidRDefault="00CE5502" w:rsidP="00331E5A">
      <w:pPr>
        <w:widowControl w:val="0"/>
        <w:spacing w:line="240" w:lineRule="exact"/>
        <w:ind w:left="0" w:firstLine="0"/>
        <w:rPr>
          <w:rFonts w:ascii="Swis721 Lt BT" w:hAnsi="Swis721 Lt BT" w:cs="Arial"/>
          <w:snapToGrid w:val="0"/>
          <w:sz w:val="15"/>
          <w:szCs w:val="15"/>
        </w:rPr>
      </w:pPr>
    </w:p>
    <w:p w:rsidR="00943AA1"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Für den Investmentfonds können Ausschüttungsanteilscheine</w:t>
      </w:r>
      <w:r w:rsidR="00395E6E">
        <w:rPr>
          <w:rFonts w:ascii="Swis721 Lt BT" w:hAnsi="Swis721 Lt BT" w:cs="Arial"/>
          <w:snapToGrid w:val="0"/>
          <w:sz w:val="15"/>
          <w:szCs w:val="15"/>
        </w:rPr>
        <w:t>,</w:t>
      </w:r>
      <w:r w:rsidRPr="006E0EB0">
        <w:rPr>
          <w:rFonts w:ascii="Swis721 Lt BT" w:hAnsi="Swis721 Lt BT" w:cs="Arial"/>
          <w:snapToGrid w:val="0"/>
          <w:sz w:val="15"/>
          <w:szCs w:val="15"/>
        </w:rPr>
        <w:t xml:space="preserve"> Thesaurierungsanteilscheine mit </w:t>
      </w:r>
      <w:proofErr w:type="spellStart"/>
      <w:r w:rsidRPr="006E0EB0">
        <w:rPr>
          <w:rFonts w:ascii="Swis721 Lt BT" w:hAnsi="Swis721 Lt BT" w:cs="Arial"/>
          <w:snapToGrid w:val="0"/>
          <w:sz w:val="15"/>
          <w:szCs w:val="15"/>
        </w:rPr>
        <w:t>KESt</w:t>
      </w:r>
      <w:proofErr w:type="spellEnd"/>
      <w:r w:rsidRPr="006E0EB0">
        <w:rPr>
          <w:rFonts w:ascii="Swis721 Lt BT" w:hAnsi="Swis721 Lt BT" w:cs="Arial"/>
          <w:snapToGrid w:val="0"/>
          <w:sz w:val="15"/>
          <w:szCs w:val="15"/>
        </w:rPr>
        <w:t xml:space="preserve">-Abzug </w:t>
      </w:r>
      <w:r w:rsidR="009F104E">
        <w:rPr>
          <w:rFonts w:ascii="Swis721 Lt BT" w:hAnsi="Swis721 Lt BT" w:cs="Arial"/>
          <w:snapToGrid w:val="0"/>
          <w:sz w:val="15"/>
          <w:szCs w:val="15"/>
        </w:rPr>
        <w:t>und</w:t>
      </w:r>
      <w:r w:rsidR="00395E6E">
        <w:rPr>
          <w:rFonts w:ascii="Swis721 Lt BT" w:hAnsi="Swis721 Lt BT" w:cs="Arial"/>
          <w:snapToGrid w:val="0"/>
          <w:sz w:val="15"/>
          <w:szCs w:val="15"/>
        </w:rPr>
        <w:t xml:space="preserve"> </w:t>
      </w:r>
      <w:r w:rsidRPr="006E0EB0">
        <w:rPr>
          <w:rFonts w:ascii="Swis721 Lt BT" w:hAnsi="Swis721 Lt BT" w:cs="Arial"/>
          <w:snapToGrid w:val="0"/>
          <w:sz w:val="15"/>
          <w:szCs w:val="15"/>
        </w:rPr>
        <w:t xml:space="preserve">Thesaurierungsanteilscheine ohne </w:t>
      </w:r>
      <w:proofErr w:type="spellStart"/>
      <w:r w:rsidRPr="006E0EB0">
        <w:rPr>
          <w:rFonts w:ascii="Swis721 Lt BT" w:hAnsi="Swis721 Lt BT" w:cs="Arial"/>
          <w:snapToGrid w:val="0"/>
          <w:sz w:val="15"/>
          <w:szCs w:val="15"/>
        </w:rPr>
        <w:t>KESt</w:t>
      </w:r>
      <w:proofErr w:type="spellEnd"/>
      <w:r w:rsidRPr="006E0EB0">
        <w:rPr>
          <w:rFonts w:ascii="Swis721 Lt BT" w:hAnsi="Swis721 Lt BT" w:cs="Arial"/>
          <w:snapToGrid w:val="0"/>
          <w:sz w:val="15"/>
          <w:szCs w:val="15"/>
        </w:rPr>
        <w:t>-Abzug ausgegeben werden.</w:t>
      </w:r>
    </w:p>
    <w:p w:rsidR="00077125" w:rsidRDefault="00077125" w:rsidP="00331E5A">
      <w:pPr>
        <w:widowControl w:val="0"/>
        <w:spacing w:line="240" w:lineRule="exact"/>
        <w:ind w:left="0" w:firstLine="0"/>
        <w:rPr>
          <w:rFonts w:ascii="Swis721 Lt BT" w:hAnsi="Swis721 Lt BT" w:cs="Arial"/>
          <w:snapToGrid w:val="0"/>
          <w:sz w:val="15"/>
          <w:szCs w:val="15"/>
        </w:rPr>
      </w:pP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Für diesen Investmentfonds können verschiedene Gattungen von Anteilscheinen ausgegeben werden. Die Bildung der Anteilsgattungen sowie die Ausgabe von Anteilen einer Anteilsgattung liegen im Ermessen der Verwaltungsgesellschaft. </w:t>
      </w:r>
    </w:p>
    <w:p w:rsidR="00943AA1" w:rsidRDefault="00943AA1" w:rsidP="00331E5A">
      <w:pPr>
        <w:widowControl w:val="0"/>
        <w:spacing w:line="240" w:lineRule="exact"/>
        <w:ind w:left="0" w:firstLine="0"/>
        <w:rPr>
          <w:rFonts w:ascii="Swis721 Lt BT" w:eastAsia="Times New Roman" w:hAnsi="Swis721 Lt BT" w:cs="Arial"/>
          <w:iCs/>
          <w:sz w:val="15"/>
          <w:szCs w:val="15"/>
          <w:lang w:val="de-AT" w:eastAsia="de-DE"/>
        </w:rPr>
      </w:pPr>
    </w:p>
    <w:p w:rsidR="00CF4561" w:rsidRPr="00C77523" w:rsidRDefault="00CF4561" w:rsidP="00C77523">
      <w:pPr>
        <w:spacing w:line="240" w:lineRule="exact"/>
        <w:ind w:left="0" w:firstLine="0"/>
        <w:rPr>
          <w:rFonts w:ascii="Swis721 Md BT" w:hAnsi="Swis721 Md BT" w:cs="Arial"/>
          <w:sz w:val="18"/>
          <w:szCs w:val="18"/>
        </w:rPr>
      </w:pPr>
      <w:proofErr w:type="spellStart"/>
      <w:r w:rsidRPr="00C77523">
        <w:rPr>
          <w:rFonts w:ascii="Swis721 Md BT" w:hAnsi="Swis721 Md BT" w:cs="Arial"/>
          <w:sz w:val="18"/>
          <w:szCs w:val="18"/>
        </w:rPr>
        <w:t>Erträgnisverwendung</w:t>
      </w:r>
      <w:proofErr w:type="spellEnd"/>
      <w:r w:rsidRPr="00C77523">
        <w:rPr>
          <w:rFonts w:ascii="Swis721 Md BT" w:hAnsi="Swis721 Md BT" w:cs="Arial"/>
          <w:sz w:val="18"/>
          <w:szCs w:val="18"/>
        </w:rPr>
        <w:t xml:space="preserve"> bei Ausschüttungsanteilscheine</w:t>
      </w:r>
      <w:r w:rsidR="00B12471">
        <w:rPr>
          <w:rFonts w:ascii="Swis721 Md BT" w:hAnsi="Swis721 Md BT" w:cs="Arial"/>
          <w:sz w:val="18"/>
          <w:szCs w:val="18"/>
        </w:rPr>
        <w:t>n</w:t>
      </w:r>
      <w:r w:rsidRPr="00C77523">
        <w:rPr>
          <w:rFonts w:ascii="Swis721 Md BT" w:hAnsi="Swis721 Md BT" w:cs="Arial"/>
          <w:sz w:val="18"/>
          <w:szCs w:val="18"/>
        </w:rPr>
        <w:t xml:space="preserve"> (Ausschütter)</w:t>
      </w: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eastAsia="Times New Roman" w:hAnsi="Swis721 Lt BT" w:cs="Arial"/>
          <w:iCs/>
          <w:sz w:val="15"/>
          <w:szCs w:val="15"/>
          <w:lang w:val="de-AT" w:eastAsia="de-DE"/>
        </w:rPr>
        <w:t>Die während des Rechnungsjahres vereinnahmten Erträgnisse (Zinsen und Dividenden) können nach Deckung der Kosten nach dem Ermessen der Verwaltungsgesellschaft ausgeschüttet werden. Eine Ausschüttung kann unter Berücksichtigung der Interessen der Anteilinhaber unterbleiben.</w:t>
      </w:r>
      <w:r w:rsidRPr="006E0EB0">
        <w:rPr>
          <w:rFonts w:ascii="Swis721 Lt BT" w:eastAsia="Times New Roman" w:hAnsi="Swis721 Lt BT" w:cs="Arial"/>
          <w:i/>
          <w:iCs/>
          <w:sz w:val="15"/>
          <w:szCs w:val="15"/>
          <w:lang w:val="de-AT" w:eastAsia="de-DE"/>
        </w:rPr>
        <w:t xml:space="preserve"> </w:t>
      </w:r>
      <w:r w:rsidRPr="006E0EB0">
        <w:rPr>
          <w:rFonts w:ascii="Swis721 Lt BT" w:hAnsi="Swis721 Lt BT" w:cs="Arial"/>
          <w:snapToGrid w:val="0"/>
          <w:sz w:val="15"/>
          <w:szCs w:val="15"/>
        </w:rPr>
        <w:t xml:space="preserve">Ebenso steht die Ausschüttung von Erträgen aus der Veräußerung von Vermögenswerten des Investmentfonds einschließlich von Bezugsrechten im Ermessen der Verwaltungsgesellschaft. Eine Ausschüttung aus der Fondssubstanz sowie Zwischenausschüttungen sind zulässig. </w:t>
      </w: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Das Fondsvermögen darf durch Ausschüttungen in keinem Fall das im Gesetz vorgesehene Mindestvolumen für eine Kündigung unterschreiten. </w:t>
      </w:r>
    </w:p>
    <w:p w:rsidR="00943AA1" w:rsidRPr="006E0EB0" w:rsidRDefault="00943AA1" w:rsidP="00331E5A">
      <w:pPr>
        <w:widowControl w:val="0"/>
        <w:spacing w:line="240" w:lineRule="exact"/>
        <w:ind w:left="0" w:firstLine="0"/>
        <w:rPr>
          <w:rFonts w:ascii="Swis721 Lt BT" w:hAnsi="Swis721 Lt BT" w:cs="Arial"/>
          <w:snapToGrid w:val="0"/>
          <w:sz w:val="15"/>
          <w:szCs w:val="15"/>
        </w:rPr>
      </w:pP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Die Beträge sind an die Inhaber von Ausschüttungsanteilscheinen ab </w:t>
      </w:r>
      <w:r w:rsidR="00DD525C">
        <w:rPr>
          <w:rFonts w:ascii="Swis721 Lt BT" w:hAnsi="Swis721 Lt BT" w:cs="Arial"/>
          <w:snapToGrid w:val="0"/>
          <w:sz w:val="15"/>
          <w:szCs w:val="15"/>
        </w:rPr>
        <w:t>15. November</w:t>
      </w:r>
      <w:r w:rsidR="00474A12" w:rsidRPr="008614EA">
        <w:rPr>
          <w:rFonts w:ascii="Swis721 Lt BT" w:hAnsi="Swis721 Lt BT" w:cs="Arial"/>
          <w:snapToGrid w:val="0"/>
          <w:sz w:val="15"/>
          <w:szCs w:val="15"/>
        </w:rPr>
        <w:t xml:space="preserve"> </w:t>
      </w:r>
      <w:r w:rsidRPr="006E0EB0">
        <w:rPr>
          <w:rFonts w:ascii="Swis721 Lt BT" w:hAnsi="Swis721 Lt BT" w:cs="Arial"/>
          <w:snapToGrid w:val="0"/>
          <w:sz w:val="15"/>
          <w:szCs w:val="15"/>
        </w:rPr>
        <w:t>des folgenden Rechnungsjahres auszuschütten, der Rest wird auf neue Rechnung vorgetragen.</w:t>
      </w:r>
    </w:p>
    <w:p w:rsidR="00943AA1" w:rsidRPr="006E0EB0" w:rsidRDefault="00943AA1" w:rsidP="00331E5A">
      <w:pPr>
        <w:widowControl w:val="0"/>
        <w:spacing w:line="240" w:lineRule="exact"/>
        <w:ind w:left="0" w:firstLine="0"/>
        <w:rPr>
          <w:rFonts w:ascii="Swis721 Lt BT" w:hAnsi="Swis721 Lt BT" w:cs="Arial"/>
          <w:snapToGrid w:val="0"/>
          <w:sz w:val="15"/>
          <w:szCs w:val="15"/>
        </w:rPr>
      </w:pPr>
    </w:p>
    <w:p w:rsidR="00943AA1" w:rsidRPr="006E0EB0" w:rsidRDefault="00943AA1" w:rsidP="00331E5A">
      <w:pPr>
        <w:widowControl w:val="0"/>
        <w:suppressLineNumbers/>
        <w:spacing w:line="240" w:lineRule="exact"/>
        <w:ind w:left="0" w:right="113" w:firstLine="0"/>
        <w:rPr>
          <w:rFonts w:ascii="Swis721 Lt BT" w:hAnsi="Swis721 Lt BT" w:cs="Arial"/>
          <w:sz w:val="15"/>
          <w:szCs w:val="15"/>
        </w:rPr>
      </w:pPr>
      <w:r w:rsidRPr="006E0EB0">
        <w:rPr>
          <w:rFonts w:ascii="Swis721 Lt BT" w:hAnsi="Swis721 Lt BT" w:cs="Arial"/>
          <w:snapToGrid w:val="0"/>
          <w:sz w:val="15"/>
          <w:szCs w:val="15"/>
        </w:rPr>
        <w:t xml:space="preserve">Jedenfalls ist ab </w:t>
      </w:r>
      <w:r w:rsidR="00DD525C">
        <w:rPr>
          <w:rFonts w:ascii="Swis721 Lt BT" w:hAnsi="Swis721 Lt BT" w:cs="Arial"/>
          <w:snapToGrid w:val="0"/>
          <w:sz w:val="15"/>
          <w:szCs w:val="15"/>
        </w:rPr>
        <w:t>15. November</w:t>
      </w:r>
      <w:r w:rsidR="00DD525C" w:rsidRPr="008614EA">
        <w:rPr>
          <w:rFonts w:ascii="Swis721 Lt BT" w:hAnsi="Swis721 Lt BT" w:cs="Arial"/>
          <w:snapToGrid w:val="0"/>
          <w:sz w:val="15"/>
          <w:szCs w:val="15"/>
        </w:rPr>
        <w:t xml:space="preserve"> </w:t>
      </w:r>
      <w:r w:rsidRPr="006E0EB0">
        <w:rPr>
          <w:rFonts w:ascii="Swis721 Lt BT" w:hAnsi="Swis721 Lt BT" w:cs="Arial"/>
          <w:snapToGrid w:val="0"/>
          <w:sz w:val="15"/>
          <w:szCs w:val="15"/>
        </w:rPr>
        <w:t xml:space="preserve">der gemäß </w:t>
      </w:r>
      <w:proofErr w:type="spellStart"/>
      <w:r w:rsidRPr="006E0EB0">
        <w:rPr>
          <w:rFonts w:ascii="Swis721 Lt BT" w:hAnsi="Swis721 Lt BT" w:cs="Arial"/>
          <w:snapToGrid w:val="0"/>
          <w:sz w:val="15"/>
          <w:szCs w:val="15"/>
        </w:rPr>
        <w:t>InvFG</w:t>
      </w:r>
      <w:proofErr w:type="spellEnd"/>
      <w:r w:rsidRPr="006E0EB0">
        <w:rPr>
          <w:rFonts w:ascii="Swis721 Lt BT" w:hAnsi="Swis721 Lt BT" w:cs="Arial"/>
          <w:snapToGrid w:val="0"/>
          <w:sz w:val="15"/>
          <w:szCs w:val="15"/>
        </w:rPr>
        <w:t xml:space="preserve"> ermittelte Betrag auszuzahlen, der</w:t>
      </w:r>
      <w:r w:rsidRPr="006E0EB0">
        <w:rPr>
          <w:rFonts w:ascii="Swis721 Lt BT" w:hAnsi="Swis721 Lt BT" w:cs="Arial"/>
          <w:sz w:val="15"/>
          <w:szCs w:val="15"/>
        </w:rPr>
        <w:t xml:space="preserve"> zutreffendenfalls zur Deckung einer auf den ausschüttungsgleichen Ertrag des Anteilscheines entfallenden </w:t>
      </w:r>
      <w:proofErr w:type="spellStart"/>
      <w:r w:rsidRPr="006E0EB0">
        <w:rPr>
          <w:rFonts w:ascii="Swis721 Lt BT" w:hAnsi="Swis721 Lt BT" w:cs="Arial"/>
          <w:sz w:val="15"/>
          <w:szCs w:val="15"/>
        </w:rPr>
        <w:t>Kapitalertragsteuerabfuhrpflicht</w:t>
      </w:r>
      <w:proofErr w:type="spellEnd"/>
      <w:r w:rsidRPr="006E0EB0">
        <w:rPr>
          <w:rFonts w:ascii="Swis721 Lt BT" w:hAnsi="Swis721 Lt BT" w:cs="Arial"/>
          <w:sz w:val="15"/>
          <w:szCs w:val="15"/>
        </w:rPr>
        <w:t xml:space="preserve"> zu verwenden ist</w:t>
      </w:r>
      <w:r w:rsidR="00A62A8F">
        <w:rPr>
          <w:rFonts w:ascii="Swis721 Lt BT" w:hAnsi="Swis721 Lt BT" w:cs="Arial"/>
          <w:sz w:val="15"/>
          <w:szCs w:val="15"/>
        </w:rPr>
        <w:t>, e</w:t>
      </w:r>
      <w:r w:rsidRPr="006E0EB0">
        <w:rPr>
          <w:rFonts w:ascii="Swis721 Lt BT" w:hAnsi="Swis721 Lt BT" w:cs="Arial"/>
          <w:sz w:val="15"/>
          <w:szCs w:val="15"/>
        </w:rPr>
        <w:t xml:space="preserve">s sei denn, die Verwaltungsgesellschaft stellt durch Erbringung entsprechender Nachweise von den depotführenden Stellen sicher, dass die Anteilscheine im Auszahlungszeitpunkt nur von Anteilinhabern gehalten werden können, die entweder nicht der inländischen Einkommen- oder Körperschaftssteuer unterliegen oder bei denen die Voraussetzungen für eine Befreiung gemäß § 94 des Einkommensteuergesetzes bzw. für eine Befreiung von der Kapitalertragsteuer vorliegen. </w:t>
      </w:r>
    </w:p>
    <w:p w:rsidR="00943AA1" w:rsidRPr="006E0EB0" w:rsidRDefault="00943AA1" w:rsidP="00331E5A">
      <w:pPr>
        <w:widowControl w:val="0"/>
        <w:suppressLineNumbers/>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Der Anspruch der Anteilinhaber auf Herausgabe der </w:t>
      </w:r>
      <w:proofErr w:type="spellStart"/>
      <w:r w:rsidRPr="006E0EB0">
        <w:rPr>
          <w:rFonts w:ascii="Swis721 Lt BT" w:hAnsi="Swis721 Lt BT" w:cs="Arial"/>
          <w:snapToGrid w:val="0"/>
          <w:sz w:val="15"/>
          <w:szCs w:val="15"/>
        </w:rPr>
        <w:t>Erträgnisanteile</w:t>
      </w:r>
      <w:proofErr w:type="spellEnd"/>
      <w:r w:rsidRPr="006E0EB0">
        <w:rPr>
          <w:rFonts w:ascii="Swis721 Lt BT" w:hAnsi="Swis721 Lt BT" w:cs="Arial"/>
          <w:snapToGrid w:val="0"/>
          <w:sz w:val="15"/>
          <w:szCs w:val="15"/>
        </w:rPr>
        <w:t xml:space="preserve"> verjährt nach Ablauf von fünf Jahren. Solche </w:t>
      </w:r>
      <w:proofErr w:type="spellStart"/>
      <w:r w:rsidRPr="006E0EB0">
        <w:rPr>
          <w:rFonts w:ascii="Swis721 Lt BT" w:hAnsi="Swis721 Lt BT" w:cs="Arial"/>
          <w:snapToGrid w:val="0"/>
          <w:sz w:val="15"/>
          <w:szCs w:val="15"/>
        </w:rPr>
        <w:t>Erträgnisanteile</w:t>
      </w:r>
      <w:proofErr w:type="spellEnd"/>
      <w:r w:rsidRPr="006E0EB0">
        <w:rPr>
          <w:rFonts w:ascii="Swis721 Lt BT" w:hAnsi="Swis721 Lt BT" w:cs="Arial"/>
          <w:snapToGrid w:val="0"/>
          <w:sz w:val="15"/>
          <w:szCs w:val="15"/>
        </w:rPr>
        <w:t xml:space="preserve"> sind nach Ablauf der Frist als Erträgnisse des Investmentfonds zu behandeln.</w:t>
      </w:r>
    </w:p>
    <w:p w:rsidR="00943AA1" w:rsidRDefault="00943AA1" w:rsidP="00331E5A">
      <w:pPr>
        <w:tabs>
          <w:tab w:val="num" w:pos="0"/>
        </w:tabs>
        <w:spacing w:line="240" w:lineRule="exact"/>
        <w:ind w:left="0" w:firstLine="0"/>
        <w:rPr>
          <w:rFonts w:ascii="Swis721 Lt BT" w:hAnsi="Swis721 Lt BT" w:cs="Arial"/>
          <w:sz w:val="15"/>
          <w:szCs w:val="15"/>
        </w:rPr>
      </w:pPr>
    </w:p>
    <w:p w:rsidR="00CF4561" w:rsidRPr="00C77523" w:rsidRDefault="00CF4561" w:rsidP="00C77523">
      <w:pPr>
        <w:spacing w:line="240" w:lineRule="exact"/>
        <w:ind w:left="0" w:firstLine="0"/>
        <w:rPr>
          <w:rFonts w:ascii="Swis721 Md BT" w:hAnsi="Swis721 Md BT" w:cs="Arial"/>
          <w:sz w:val="18"/>
          <w:szCs w:val="18"/>
        </w:rPr>
      </w:pPr>
      <w:proofErr w:type="spellStart"/>
      <w:r w:rsidRPr="00C77523">
        <w:rPr>
          <w:rFonts w:ascii="Swis721 Md BT" w:hAnsi="Swis721 Md BT" w:cs="Arial"/>
          <w:sz w:val="18"/>
          <w:szCs w:val="18"/>
        </w:rPr>
        <w:t>Erträgnisverwendung</w:t>
      </w:r>
      <w:proofErr w:type="spellEnd"/>
      <w:r w:rsidRPr="00C77523">
        <w:rPr>
          <w:rFonts w:ascii="Swis721 Md BT" w:hAnsi="Swis721 Md BT" w:cs="Arial"/>
          <w:sz w:val="18"/>
          <w:szCs w:val="18"/>
        </w:rPr>
        <w:t xml:space="preserve"> bei Thesaurierungsanteilscheinen mit </w:t>
      </w:r>
      <w:proofErr w:type="spellStart"/>
      <w:r w:rsidRPr="00C77523">
        <w:rPr>
          <w:rFonts w:ascii="Swis721 Md BT" w:hAnsi="Swis721 Md BT" w:cs="Arial"/>
          <w:sz w:val="18"/>
          <w:szCs w:val="18"/>
        </w:rPr>
        <w:t>KESt</w:t>
      </w:r>
      <w:proofErr w:type="spellEnd"/>
      <w:r w:rsidRPr="00C77523">
        <w:rPr>
          <w:rFonts w:ascii="Swis721 Md BT" w:hAnsi="Swis721 Md BT" w:cs="Arial"/>
          <w:sz w:val="18"/>
          <w:szCs w:val="18"/>
        </w:rPr>
        <w:t>-Abzug (</w:t>
      </w:r>
      <w:proofErr w:type="spellStart"/>
      <w:r w:rsidRPr="00C77523">
        <w:rPr>
          <w:rFonts w:ascii="Swis721 Md BT" w:hAnsi="Swis721 Md BT" w:cs="Arial"/>
          <w:sz w:val="18"/>
          <w:szCs w:val="18"/>
        </w:rPr>
        <w:t>Thesaurierer</w:t>
      </w:r>
      <w:proofErr w:type="spellEnd"/>
      <w:r w:rsidRPr="00C77523">
        <w:rPr>
          <w:rFonts w:ascii="Swis721 Md BT" w:hAnsi="Swis721 Md BT" w:cs="Arial"/>
          <w:sz w:val="18"/>
          <w:szCs w:val="18"/>
        </w:rPr>
        <w:t>)</w:t>
      </w:r>
    </w:p>
    <w:p w:rsidR="00943AA1" w:rsidRPr="006E0EB0" w:rsidRDefault="00943AA1" w:rsidP="00331E5A">
      <w:pPr>
        <w:tabs>
          <w:tab w:val="num" w:pos="0"/>
        </w:tabs>
        <w:spacing w:line="240" w:lineRule="exact"/>
        <w:ind w:left="0" w:firstLine="0"/>
        <w:rPr>
          <w:rFonts w:ascii="Swis721 Lt BT" w:hAnsi="Swis721 Lt BT" w:cs="Arial"/>
          <w:sz w:val="15"/>
          <w:szCs w:val="15"/>
        </w:rPr>
      </w:pPr>
      <w:r w:rsidRPr="006E0EB0">
        <w:rPr>
          <w:rFonts w:ascii="Swis721 Lt BT" w:hAnsi="Swis721 Lt BT" w:cs="Arial"/>
          <w:snapToGrid w:val="0"/>
          <w:sz w:val="15"/>
          <w:szCs w:val="15"/>
        </w:rPr>
        <w:t xml:space="preserve">Die während des Rechnungsjahres vereinnahmten Erträgnisse nach Deckung der Kosten werden nicht ausgeschüttet. Es ist bei Thesaurierungsanteilscheinen ab </w:t>
      </w:r>
      <w:r w:rsidR="00DD525C">
        <w:rPr>
          <w:rFonts w:ascii="Swis721 Lt BT" w:hAnsi="Swis721 Lt BT" w:cs="Arial"/>
          <w:snapToGrid w:val="0"/>
          <w:sz w:val="15"/>
          <w:szCs w:val="15"/>
        </w:rPr>
        <w:t>15. November</w:t>
      </w:r>
      <w:r w:rsidR="00DD525C" w:rsidRPr="008614EA">
        <w:rPr>
          <w:rFonts w:ascii="Swis721 Lt BT" w:hAnsi="Swis721 Lt BT" w:cs="Arial"/>
          <w:snapToGrid w:val="0"/>
          <w:sz w:val="15"/>
          <w:szCs w:val="15"/>
        </w:rPr>
        <w:t xml:space="preserve"> </w:t>
      </w:r>
      <w:r w:rsidRPr="006E0EB0">
        <w:rPr>
          <w:rFonts w:ascii="Swis721 Lt BT" w:hAnsi="Swis721 Lt BT" w:cs="Arial"/>
          <w:snapToGrid w:val="0"/>
          <w:sz w:val="15"/>
          <w:szCs w:val="15"/>
        </w:rPr>
        <w:t xml:space="preserve">der gemäß </w:t>
      </w:r>
      <w:proofErr w:type="spellStart"/>
      <w:r w:rsidRPr="006E0EB0">
        <w:rPr>
          <w:rFonts w:ascii="Swis721 Lt BT" w:hAnsi="Swis721 Lt BT" w:cs="Arial"/>
          <w:snapToGrid w:val="0"/>
          <w:sz w:val="15"/>
          <w:szCs w:val="15"/>
        </w:rPr>
        <w:t>InvFG</w:t>
      </w:r>
      <w:proofErr w:type="spellEnd"/>
      <w:r w:rsidRPr="006E0EB0">
        <w:rPr>
          <w:rFonts w:ascii="Swis721 Lt BT" w:hAnsi="Swis721 Lt BT" w:cs="Arial"/>
          <w:snapToGrid w:val="0"/>
          <w:sz w:val="15"/>
          <w:szCs w:val="15"/>
        </w:rPr>
        <w:t xml:space="preserve"> ermittelte Betrag auszuzahlen, der zutreffendenfalls zur Deckung einer auf den ausschüttungsgleichen Ertrag des Anteilscheines entfallenden </w:t>
      </w:r>
      <w:proofErr w:type="spellStart"/>
      <w:r w:rsidRPr="006E0EB0">
        <w:rPr>
          <w:rFonts w:ascii="Swis721 Lt BT" w:hAnsi="Swis721 Lt BT" w:cs="Arial"/>
          <w:snapToGrid w:val="0"/>
          <w:sz w:val="15"/>
          <w:szCs w:val="15"/>
        </w:rPr>
        <w:t>Kapitalertragsteuerabfuhrpflicht</w:t>
      </w:r>
      <w:proofErr w:type="spellEnd"/>
      <w:r w:rsidRPr="006E0EB0">
        <w:rPr>
          <w:rFonts w:ascii="Swis721 Lt BT" w:hAnsi="Swis721 Lt BT" w:cs="Arial"/>
          <w:snapToGrid w:val="0"/>
          <w:sz w:val="15"/>
          <w:szCs w:val="15"/>
        </w:rPr>
        <w:t xml:space="preserve"> zu verwenden ist</w:t>
      </w:r>
      <w:r w:rsidR="00A62A8F">
        <w:rPr>
          <w:rFonts w:ascii="Swis721 Lt BT" w:hAnsi="Swis721 Lt BT" w:cs="Arial"/>
          <w:snapToGrid w:val="0"/>
          <w:sz w:val="15"/>
          <w:szCs w:val="15"/>
        </w:rPr>
        <w:t>, e</w:t>
      </w:r>
      <w:r w:rsidRPr="006E0EB0">
        <w:rPr>
          <w:rFonts w:ascii="Swis721 Lt BT" w:hAnsi="Swis721 Lt BT" w:cs="Arial"/>
          <w:sz w:val="15"/>
          <w:szCs w:val="15"/>
        </w:rPr>
        <w:t xml:space="preserve">s sei denn, die Verwaltungsgesellschaft stellt durch Erbringung entsprechender Nachweise </w:t>
      </w:r>
      <w:r w:rsidR="00313DC1">
        <w:rPr>
          <w:rFonts w:ascii="Swis721 Lt BT" w:hAnsi="Swis721 Lt BT" w:cs="Arial"/>
          <w:sz w:val="15"/>
          <w:szCs w:val="15"/>
        </w:rPr>
        <w:t>von den</w:t>
      </w:r>
      <w:r w:rsidRPr="006E0EB0">
        <w:rPr>
          <w:rFonts w:ascii="Swis721 Lt BT" w:hAnsi="Swis721 Lt BT" w:cs="Arial"/>
          <w:sz w:val="15"/>
          <w:szCs w:val="15"/>
        </w:rPr>
        <w:t xml:space="preserve"> depotführenden Stellen sicher, dass die Anteilscheine im Auszahlungszeitpunkt nur von Anteilinhabern gehalten werden können, die entweder nicht der inländischen Einkommen- oder Körperschaftssteuer unterliegen oder bei denen die Voraussetzungen für eine Befreiung gemäß § 94 des Einkommensteuergesetzes bzw. für eine Befreiung von der Kapitalertragsteuer vorliegen</w:t>
      </w:r>
      <w:r w:rsidRPr="006E0EB0">
        <w:rPr>
          <w:rFonts w:ascii="Swis721 Lt BT" w:hAnsi="Swis721 Lt BT" w:cs="Arial"/>
          <w:snapToGrid w:val="0"/>
          <w:sz w:val="15"/>
          <w:szCs w:val="15"/>
        </w:rPr>
        <w:t>.</w:t>
      </w:r>
    </w:p>
    <w:p w:rsidR="00943AA1" w:rsidRDefault="00943AA1" w:rsidP="00331E5A">
      <w:pPr>
        <w:tabs>
          <w:tab w:val="num" w:pos="0"/>
        </w:tabs>
        <w:spacing w:line="240" w:lineRule="exact"/>
        <w:ind w:left="0" w:firstLine="0"/>
        <w:rPr>
          <w:rFonts w:ascii="Swis721 Lt BT" w:hAnsi="Swis721 Lt BT" w:cs="Arial"/>
          <w:sz w:val="15"/>
          <w:szCs w:val="15"/>
        </w:rPr>
      </w:pPr>
    </w:p>
    <w:p w:rsidR="00DD525C" w:rsidRDefault="00DD525C">
      <w:pPr>
        <w:spacing w:after="200" w:line="240" w:lineRule="auto"/>
        <w:ind w:left="0" w:firstLine="0"/>
        <w:jc w:val="left"/>
        <w:rPr>
          <w:rFonts w:ascii="Swis721 Md BT" w:hAnsi="Swis721 Md BT" w:cs="Arial"/>
          <w:sz w:val="18"/>
          <w:szCs w:val="18"/>
        </w:rPr>
      </w:pPr>
      <w:r>
        <w:rPr>
          <w:rFonts w:ascii="Swis721 Md BT" w:hAnsi="Swis721 Md BT" w:cs="Arial"/>
          <w:sz w:val="18"/>
          <w:szCs w:val="18"/>
        </w:rPr>
        <w:br w:type="page"/>
      </w:r>
    </w:p>
    <w:p w:rsidR="00CF4561" w:rsidRPr="00C77523" w:rsidRDefault="00CF4561" w:rsidP="00C77523">
      <w:pPr>
        <w:spacing w:line="240" w:lineRule="exact"/>
        <w:ind w:left="0" w:firstLine="0"/>
        <w:rPr>
          <w:rFonts w:ascii="Swis721 Md BT" w:hAnsi="Swis721 Md BT" w:cs="Arial"/>
          <w:sz w:val="18"/>
          <w:szCs w:val="18"/>
        </w:rPr>
      </w:pPr>
      <w:proofErr w:type="spellStart"/>
      <w:r w:rsidRPr="00C77523">
        <w:rPr>
          <w:rFonts w:ascii="Swis721 Md BT" w:hAnsi="Swis721 Md BT" w:cs="Arial"/>
          <w:sz w:val="18"/>
          <w:szCs w:val="18"/>
        </w:rPr>
        <w:lastRenderedPageBreak/>
        <w:t>Erträgnisverwendung</w:t>
      </w:r>
      <w:proofErr w:type="spellEnd"/>
      <w:r w:rsidRPr="00C77523">
        <w:rPr>
          <w:rFonts w:ascii="Swis721 Md BT" w:hAnsi="Swis721 Md BT" w:cs="Arial"/>
          <w:sz w:val="18"/>
          <w:szCs w:val="18"/>
        </w:rPr>
        <w:t xml:space="preserve"> bei Thesaurierungsanteilscheinen ohne </w:t>
      </w:r>
      <w:proofErr w:type="spellStart"/>
      <w:r w:rsidRPr="00C77523">
        <w:rPr>
          <w:rFonts w:ascii="Swis721 Md BT" w:hAnsi="Swis721 Md BT" w:cs="Arial"/>
          <w:sz w:val="18"/>
          <w:szCs w:val="18"/>
        </w:rPr>
        <w:t>KESt</w:t>
      </w:r>
      <w:proofErr w:type="spellEnd"/>
      <w:r w:rsidRPr="00C77523">
        <w:rPr>
          <w:rFonts w:ascii="Swis721 Md BT" w:hAnsi="Swis721 Md BT" w:cs="Arial"/>
          <w:sz w:val="18"/>
          <w:szCs w:val="18"/>
        </w:rPr>
        <w:t>-Abzug (</w:t>
      </w:r>
      <w:proofErr w:type="spellStart"/>
      <w:r w:rsidRPr="00C77523">
        <w:rPr>
          <w:rFonts w:ascii="Swis721 Md BT" w:hAnsi="Swis721 Md BT" w:cs="Arial"/>
          <w:sz w:val="18"/>
          <w:szCs w:val="18"/>
        </w:rPr>
        <w:t>Vollthesaurierer</w:t>
      </w:r>
      <w:proofErr w:type="spellEnd"/>
      <w:r w:rsidRPr="00C77523">
        <w:rPr>
          <w:rFonts w:ascii="Swis721 Md BT" w:hAnsi="Swis721 Md BT" w:cs="Arial"/>
          <w:sz w:val="18"/>
          <w:szCs w:val="18"/>
        </w:rPr>
        <w:t xml:space="preserve"> Inlands- und Auslandstranche)</w:t>
      </w:r>
    </w:p>
    <w:p w:rsidR="00943AA1" w:rsidRPr="006E0EB0" w:rsidRDefault="00943AA1" w:rsidP="00331E5A">
      <w:pPr>
        <w:widowControl w:val="0"/>
        <w:tabs>
          <w:tab w:val="num" w:pos="0"/>
        </w:tabs>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Die während des Rechnungsjahres vereinnahmten Erträgnisse nach Deckung der Kosten werden nicht ausgeschüttet. Es wird keine Auszahlung gemäß </w:t>
      </w:r>
      <w:proofErr w:type="spellStart"/>
      <w:r w:rsidRPr="006E0EB0">
        <w:rPr>
          <w:rFonts w:ascii="Swis721 Lt BT" w:hAnsi="Swis721 Lt BT" w:cs="Arial"/>
          <w:snapToGrid w:val="0"/>
          <w:sz w:val="15"/>
          <w:szCs w:val="15"/>
        </w:rPr>
        <w:t>InvFG</w:t>
      </w:r>
      <w:proofErr w:type="spellEnd"/>
      <w:r w:rsidRPr="006E0EB0">
        <w:rPr>
          <w:rFonts w:ascii="Swis721 Lt BT" w:hAnsi="Swis721 Lt BT" w:cs="Arial"/>
          <w:snapToGrid w:val="0"/>
          <w:sz w:val="15"/>
          <w:szCs w:val="15"/>
        </w:rPr>
        <w:t xml:space="preserve"> vorgenommen. </w:t>
      </w:r>
      <w:r w:rsidRPr="006E0EB0">
        <w:rPr>
          <w:rFonts w:ascii="Swis721 Lt BT" w:hAnsi="Swis721 Lt BT" w:cs="Arial"/>
          <w:sz w:val="15"/>
          <w:szCs w:val="15"/>
        </w:rPr>
        <w:t xml:space="preserve">Der für das Unterbleiben der </w:t>
      </w:r>
      <w:proofErr w:type="spellStart"/>
      <w:r w:rsidRPr="006E0EB0">
        <w:rPr>
          <w:rFonts w:ascii="Swis721 Lt BT" w:hAnsi="Swis721 Lt BT" w:cs="Arial"/>
          <w:sz w:val="15"/>
          <w:szCs w:val="15"/>
        </w:rPr>
        <w:t>KESt</w:t>
      </w:r>
      <w:proofErr w:type="spellEnd"/>
      <w:r w:rsidRPr="006E0EB0">
        <w:rPr>
          <w:rFonts w:ascii="Swis721 Lt BT" w:hAnsi="Swis721 Lt BT" w:cs="Arial"/>
          <w:sz w:val="15"/>
          <w:szCs w:val="15"/>
        </w:rPr>
        <w:t>-Auszahlung auf den Jahresertrag gemäß </w:t>
      </w:r>
      <w:proofErr w:type="spellStart"/>
      <w:r w:rsidRPr="006E0EB0">
        <w:rPr>
          <w:rFonts w:ascii="Swis721 Lt BT" w:hAnsi="Swis721 Lt BT" w:cs="Arial"/>
          <w:sz w:val="15"/>
          <w:szCs w:val="15"/>
        </w:rPr>
        <w:t>InvFG</w:t>
      </w:r>
      <w:proofErr w:type="spellEnd"/>
      <w:r w:rsidRPr="006E0EB0">
        <w:rPr>
          <w:rFonts w:ascii="Swis721 Lt BT" w:hAnsi="Swis721 Lt BT" w:cs="Arial"/>
          <w:sz w:val="15"/>
          <w:szCs w:val="15"/>
        </w:rPr>
        <w:t xml:space="preserve"> maßgebliche Zeitpunkt ist jeweils der </w:t>
      </w:r>
      <w:r w:rsidR="00DD525C">
        <w:rPr>
          <w:rFonts w:ascii="Swis721 Lt BT" w:hAnsi="Swis721 Lt BT" w:cs="Arial"/>
          <w:snapToGrid w:val="0"/>
          <w:sz w:val="15"/>
          <w:szCs w:val="15"/>
        </w:rPr>
        <w:t>15. November</w:t>
      </w:r>
      <w:r w:rsidR="00DD525C" w:rsidRPr="008614EA">
        <w:rPr>
          <w:rFonts w:ascii="Swis721 Lt BT" w:hAnsi="Swis721 Lt BT" w:cs="Arial"/>
          <w:snapToGrid w:val="0"/>
          <w:sz w:val="15"/>
          <w:szCs w:val="15"/>
        </w:rPr>
        <w:t xml:space="preserve"> </w:t>
      </w:r>
      <w:r w:rsidRPr="006E0EB0">
        <w:rPr>
          <w:rFonts w:ascii="Swis721 Lt BT" w:hAnsi="Swis721 Lt BT" w:cs="Arial"/>
          <w:sz w:val="15"/>
          <w:szCs w:val="15"/>
        </w:rPr>
        <w:t xml:space="preserve">des folgenden Rechnungsjahres. </w:t>
      </w:r>
    </w:p>
    <w:p w:rsidR="00943AA1" w:rsidRPr="006E0EB0" w:rsidRDefault="00943AA1" w:rsidP="00331E5A">
      <w:pPr>
        <w:widowControl w:val="0"/>
        <w:tabs>
          <w:tab w:val="num" w:pos="0"/>
        </w:tabs>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Die Verwaltungsgesellschaft stellt durch Erbringung entsprechender Nachweise von den depotführenden Stellen sicher, dass die Anteilscheine im Auszahlungszeitpunkt nur von Anteilinhabern gehalten werden können, die entweder nicht der inländischen Einkommen- oder Körperschaftssteuer unterliegen oder bei denen die Voraussetzungen für eine Befreiung gemäß </w:t>
      </w:r>
      <w:r w:rsidR="0005229A">
        <w:rPr>
          <w:rFonts w:ascii="Swis721 Lt BT" w:hAnsi="Swis721 Lt BT" w:cs="Arial"/>
          <w:snapToGrid w:val="0"/>
          <w:sz w:val="15"/>
          <w:szCs w:val="15"/>
        </w:rPr>
        <w:t xml:space="preserve">§ 94 des </w:t>
      </w:r>
      <w:r w:rsidR="0032371E">
        <w:rPr>
          <w:rFonts w:ascii="Swis721 Lt BT" w:hAnsi="Swis721 Lt BT" w:cs="Arial"/>
          <w:snapToGrid w:val="0"/>
          <w:sz w:val="15"/>
          <w:szCs w:val="15"/>
        </w:rPr>
        <w:t>Einkommensteuergesetz</w:t>
      </w:r>
      <w:r w:rsidR="0005229A">
        <w:rPr>
          <w:rFonts w:ascii="Swis721 Lt BT" w:hAnsi="Swis721 Lt BT" w:cs="Arial"/>
          <w:snapToGrid w:val="0"/>
          <w:sz w:val="15"/>
          <w:szCs w:val="15"/>
        </w:rPr>
        <w:t xml:space="preserve">es </w:t>
      </w:r>
      <w:r w:rsidR="0005229A" w:rsidRPr="006E0EB0">
        <w:rPr>
          <w:rFonts w:ascii="Swis721 Lt BT" w:hAnsi="Swis721 Lt BT" w:cs="Arial"/>
          <w:sz w:val="15"/>
          <w:szCs w:val="15"/>
        </w:rPr>
        <w:t>bzw. für eine Befreiung von der Kapitalertragsteuer</w:t>
      </w:r>
      <w:r w:rsidRPr="006E0EB0">
        <w:rPr>
          <w:rFonts w:ascii="Swis721 Lt BT" w:hAnsi="Swis721 Lt BT" w:cs="Arial"/>
          <w:snapToGrid w:val="0"/>
          <w:sz w:val="15"/>
          <w:szCs w:val="15"/>
        </w:rPr>
        <w:t xml:space="preserve"> vorliegen.</w:t>
      </w:r>
    </w:p>
    <w:p w:rsidR="00943AA1" w:rsidRPr="006E0EB0" w:rsidRDefault="00943AA1" w:rsidP="00331E5A">
      <w:pPr>
        <w:tabs>
          <w:tab w:val="num" w:pos="0"/>
        </w:tabs>
        <w:spacing w:line="240" w:lineRule="exact"/>
        <w:ind w:left="0" w:firstLine="0"/>
        <w:rPr>
          <w:rFonts w:ascii="Swis721 Lt BT" w:hAnsi="Swis721 Lt BT" w:cs="Arial"/>
          <w:sz w:val="15"/>
          <w:szCs w:val="15"/>
        </w:rPr>
      </w:pPr>
      <w:r w:rsidRPr="006E0EB0">
        <w:rPr>
          <w:rFonts w:ascii="Swis721 Lt BT" w:hAnsi="Swis721 Lt BT" w:cs="Arial"/>
          <w:sz w:val="15"/>
          <w:szCs w:val="15"/>
        </w:rPr>
        <w:t xml:space="preserve">Werden diese Voraussetzungen zum Auszahlungszeitpunkt nicht erfüllt, ist der gemäß </w:t>
      </w:r>
      <w:proofErr w:type="spellStart"/>
      <w:r w:rsidRPr="006E0EB0">
        <w:rPr>
          <w:rFonts w:ascii="Swis721 Lt BT" w:hAnsi="Swis721 Lt BT" w:cs="Arial"/>
          <w:sz w:val="15"/>
          <w:szCs w:val="15"/>
        </w:rPr>
        <w:t>InvFG</w:t>
      </w:r>
      <w:proofErr w:type="spellEnd"/>
      <w:r w:rsidRPr="006E0EB0">
        <w:rPr>
          <w:rFonts w:ascii="Swis721 Lt BT" w:hAnsi="Swis721 Lt BT" w:cs="Arial"/>
          <w:sz w:val="15"/>
          <w:szCs w:val="15"/>
        </w:rPr>
        <w:t xml:space="preserve"> ermittelte Betrag durch Gutschrift des jeweils depotführenden Kreditinstituts auszuzahlen.</w:t>
      </w:r>
    </w:p>
    <w:p w:rsidR="00943AA1" w:rsidRDefault="00943AA1" w:rsidP="00331E5A">
      <w:pPr>
        <w:tabs>
          <w:tab w:val="num" w:pos="0"/>
        </w:tabs>
        <w:spacing w:line="240" w:lineRule="exact"/>
        <w:ind w:left="0" w:firstLine="0"/>
        <w:rPr>
          <w:rFonts w:ascii="Swis721 Lt BT" w:hAnsi="Swis721 Lt BT" w:cs="Arial"/>
          <w:sz w:val="15"/>
          <w:szCs w:val="15"/>
        </w:rPr>
      </w:pPr>
    </w:p>
    <w:p w:rsidR="00CF4561" w:rsidRPr="00C77523" w:rsidRDefault="00CF4561" w:rsidP="00C77523">
      <w:pPr>
        <w:spacing w:line="240" w:lineRule="exact"/>
        <w:ind w:left="0" w:firstLine="0"/>
        <w:rPr>
          <w:rFonts w:ascii="Swis721 Md BT" w:hAnsi="Swis721 Md BT" w:cs="Arial"/>
          <w:sz w:val="18"/>
          <w:szCs w:val="18"/>
        </w:rPr>
      </w:pPr>
      <w:proofErr w:type="spellStart"/>
      <w:r w:rsidRPr="00C77523">
        <w:rPr>
          <w:rFonts w:ascii="Swis721 Md BT" w:hAnsi="Swis721 Md BT" w:cs="Arial"/>
          <w:sz w:val="18"/>
          <w:szCs w:val="18"/>
        </w:rPr>
        <w:t>Erträgnisverwendung</w:t>
      </w:r>
      <w:proofErr w:type="spellEnd"/>
      <w:r w:rsidRPr="00C77523">
        <w:rPr>
          <w:rFonts w:ascii="Swis721 Md BT" w:hAnsi="Swis721 Md BT" w:cs="Arial"/>
          <w:sz w:val="18"/>
          <w:szCs w:val="18"/>
        </w:rPr>
        <w:t xml:space="preserve"> bei Thesaurierungsanteilscheinen ohne </w:t>
      </w:r>
      <w:proofErr w:type="spellStart"/>
      <w:r w:rsidRPr="00C77523">
        <w:rPr>
          <w:rFonts w:ascii="Swis721 Md BT" w:hAnsi="Swis721 Md BT" w:cs="Arial"/>
          <w:sz w:val="18"/>
          <w:szCs w:val="18"/>
        </w:rPr>
        <w:t>KESt</w:t>
      </w:r>
      <w:proofErr w:type="spellEnd"/>
      <w:r w:rsidRPr="00C77523">
        <w:rPr>
          <w:rFonts w:ascii="Swis721 Md BT" w:hAnsi="Swis721 Md BT" w:cs="Arial"/>
          <w:sz w:val="18"/>
          <w:szCs w:val="18"/>
        </w:rPr>
        <w:t>-Abzug (</w:t>
      </w:r>
      <w:proofErr w:type="spellStart"/>
      <w:r w:rsidRPr="00C77523">
        <w:rPr>
          <w:rFonts w:ascii="Swis721 Md BT" w:hAnsi="Swis721 Md BT" w:cs="Arial"/>
          <w:sz w:val="18"/>
          <w:szCs w:val="18"/>
        </w:rPr>
        <w:t>Vollthesaurierer</w:t>
      </w:r>
      <w:proofErr w:type="spellEnd"/>
      <w:r w:rsidRPr="00C77523">
        <w:rPr>
          <w:rFonts w:ascii="Swis721 Md BT" w:hAnsi="Swis721 Md BT" w:cs="Arial"/>
          <w:sz w:val="18"/>
          <w:szCs w:val="18"/>
        </w:rPr>
        <w:t xml:space="preserve"> Auslandstranche)</w:t>
      </w:r>
    </w:p>
    <w:p w:rsidR="00943AA1" w:rsidRPr="006E0EB0" w:rsidRDefault="00943AA1" w:rsidP="00331E5A">
      <w:pPr>
        <w:widowControl w:val="0"/>
        <w:suppressLineNumbers/>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Der Vertrieb der Thesaurierungsanteilscheine ohne </w:t>
      </w:r>
      <w:proofErr w:type="spellStart"/>
      <w:r w:rsidRPr="006E0EB0">
        <w:rPr>
          <w:rFonts w:ascii="Swis721 Lt BT" w:hAnsi="Swis721 Lt BT" w:cs="Arial"/>
          <w:snapToGrid w:val="0"/>
          <w:sz w:val="15"/>
          <w:szCs w:val="15"/>
        </w:rPr>
        <w:t>KESt</w:t>
      </w:r>
      <w:proofErr w:type="spellEnd"/>
      <w:r w:rsidRPr="006E0EB0">
        <w:rPr>
          <w:rFonts w:ascii="Swis721 Lt BT" w:hAnsi="Swis721 Lt BT" w:cs="Arial"/>
          <w:snapToGrid w:val="0"/>
          <w:sz w:val="15"/>
          <w:szCs w:val="15"/>
        </w:rPr>
        <w:t>-Abzug erfolgt ausschließlich im Ausland</w:t>
      </w:r>
      <w:r w:rsidR="00AF24F0">
        <w:rPr>
          <w:rFonts w:ascii="Swis721 Lt BT" w:hAnsi="Swis721 Lt BT" w:cs="Arial"/>
          <w:snapToGrid w:val="0"/>
          <w:sz w:val="15"/>
          <w:szCs w:val="15"/>
        </w:rPr>
        <w:t>.</w:t>
      </w: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Die während des Rechnungsjahres vereinnahmten Erträgnisse nach Deckung der Kosten werden nicht ausgeschüttet. Es wird keine Auszahlung gemäß </w:t>
      </w:r>
      <w:proofErr w:type="spellStart"/>
      <w:r w:rsidRPr="006E0EB0">
        <w:rPr>
          <w:rFonts w:ascii="Swis721 Lt BT" w:hAnsi="Swis721 Lt BT" w:cs="Arial"/>
          <w:snapToGrid w:val="0"/>
          <w:sz w:val="15"/>
          <w:szCs w:val="15"/>
        </w:rPr>
        <w:t>InvFG</w:t>
      </w:r>
      <w:proofErr w:type="spellEnd"/>
      <w:r w:rsidRPr="006E0EB0">
        <w:rPr>
          <w:rFonts w:ascii="Swis721 Lt BT" w:hAnsi="Swis721 Lt BT" w:cs="Arial"/>
          <w:snapToGrid w:val="0"/>
          <w:sz w:val="15"/>
          <w:szCs w:val="15"/>
        </w:rPr>
        <w:t xml:space="preserve"> vorgenommen. </w:t>
      </w:r>
    </w:p>
    <w:p w:rsidR="00943AA1" w:rsidRPr="006E0EB0" w:rsidRDefault="00943AA1" w:rsidP="00331E5A">
      <w:pPr>
        <w:tabs>
          <w:tab w:val="num" w:pos="0"/>
        </w:tabs>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Die Verwaltungsgesellschaft stellt durch Erbringung entsprechender Nachweise sicher, dass die Anteilscheine im Auszahlungszeitpunkt nur von Anteilinhabern gehalten werden können, die entweder nicht der inländischen Einkommen- oder Körperschaftssteuer unterliegen oder bei denen die Voraussetzungen für eine Befreiung gemäß </w:t>
      </w:r>
      <w:r w:rsidR="0032371E">
        <w:rPr>
          <w:rFonts w:ascii="Swis721 Lt BT" w:hAnsi="Swis721 Lt BT" w:cs="Arial"/>
          <w:snapToGrid w:val="0"/>
          <w:sz w:val="15"/>
          <w:szCs w:val="15"/>
        </w:rPr>
        <w:t xml:space="preserve">§ 94 </w:t>
      </w:r>
      <w:r w:rsidR="0005229A">
        <w:rPr>
          <w:rFonts w:ascii="Swis721 Lt BT" w:hAnsi="Swis721 Lt BT" w:cs="Arial"/>
          <w:snapToGrid w:val="0"/>
          <w:sz w:val="15"/>
          <w:szCs w:val="15"/>
        </w:rPr>
        <w:t xml:space="preserve">des </w:t>
      </w:r>
      <w:r w:rsidRPr="00FC16EA">
        <w:rPr>
          <w:rFonts w:ascii="Swis721 Lt BT" w:hAnsi="Swis721 Lt BT" w:cs="Arial"/>
          <w:snapToGrid w:val="0"/>
          <w:sz w:val="15"/>
          <w:szCs w:val="15"/>
        </w:rPr>
        <w:t>Einkommensteuergesetz</w:t>
      </w:r>
      <w:r w:rsidR="0005229A">
        <w:rPr>
          <w:rFonts w:ascii="Swis721 Lt BT" w:hAnsi="Swis721 Lt BT" w:cs="Arial"/>
          <w:snapToGrid w:val="0"/>
          <w:sz w:val="15"/>
          <w:szCs w:val="15"/>
        </w:rPr>
        <w:t>es</w:t>
      </w:r>
      <w:r w:rsidRPr="00FC16EA">
        <w:rPr>
          <w:rFonts w:ascii="Swis721 Lt BT" w:hAnsi="Swis721 Lt BT" w:cs="Arial"/>
          <w:snapToGrid w:val="0"/>
          <w:sz w:val="15"/>
          <w:szCs w:val="15"/>
        </w:rPr>
        <w:t xml:space="preserve"> bzw</w:t>
      </w:r>
      <w:r w:rsidRPr="006E0EB0">
        <w:rPr>
          <w:rFonts w:ascii="Swis721 Lt BT" w:hAnsi="Swis721 Lt BT" w:cs="Arial"/>
          <w:snapToGrid w:val="0"/>
          <w:sz w:val="15"/>
          <w:szCs w:val="15"/>
        </w:rPr>
        <w:t>. für eine Befreiung von der Kapitalertragssteuer vorliegen.</w:t>
      </w:r>
    </w:p>
    <w:p w:rsidR="00943AA1" w:rsidRPr="00077125" w:rsidRDefault="00943AA1" w:rsidP="00331E5A">
      <w:pPr>
        <w:tabs>
          <w:tab w:val="num" w:pos="0"/>
        </w:tabs>
        <w:spacing w:line="240" w:lineRule="exact"/>
        <w:ind w:left="0" w:firstLine="0"/>
        <w:rPr>
          <w:rFonts w:ascii="Swis721 Lt BT" w:hAnsi="Swis721 Lt BT" w:cs="Arial"/>
          <w:sz w:val="15"/>
          <w:szCs w:val="15"/>
        </w:rPr>
      </w:pPr>
    </w:p>
    <w:p w:rsidR="004771C0" w:rsidRPr="00077125" w:rsidRDefault="004771C0" w:rsidP="00331E5A">
      <w:pPr>
        <w:tabs>
          <w:tab w:val="num" w:pos="0"/>
        </w:tabs>
        <w:spacing w:line="240" w:lineRule="exact"/>
        <w:ind w:left="0" w:firstLine="0"/>
        <w:rPr>
          <w:rFonts w:ascii="Swis721 Lt BT" w:hAnsi="Swis721 Lt BT" w:cs="Arial"/>
          <w:sz w:val="15"/>
          <w:szCs w:val="15"/>
        </w:rPr>
      </w:pPr>
    </w:p>
    <w:p w:rsidR="00BC150F" w:rsidRPr="004771C0" w:rsidRDefault="006E0EB0" w:rsidP="00331E5A">
      <w:pPr>
        <w:widowControl w:val="0"/>
        <w:suppressLineNumbers/>
        <w:spacing w:line="240" w:lineRule="exact"/>
        <w:ind w:left="0" w:firstLine="0"/>
        <w:rPr>
          <w:rFonts w:ascii="Swis721 Md BT" w:hAnsi="Swis721 Md BT" w:cs="Arial"/>
          <w:b/>
          <w:snapToGrid w:val="0"/>
          <w:sz w:val="20"/>
          <w:szCs w:val="20"/>
        </w:rPr>
      </w:pPr>
      <w:r w:rsidRPr="004771C0">
        <w:rPr>
          <w:rFonts w:ascii="Swis721 Md BT" w:hAnsi="Swis721 Md BT" w:cs="Arial"/>
          <w:b/>
          <w:snapToGrid w:val="0"/>
          <w:sz w:val="20"/>
          <w:szCs w:val="20"/>
        </w:rPr>
        <w:t>Artikel 7</w:t>
      </w:r>
      <w:r w:rsidRPr="004771C0">
        <w:rPr>
          <w:rFonts w:ascii="Swis721 Md BT" w:hAnsi="Swis721 Md BT" w:cs="Arial"/>
          <w:b/>
          <w:snapToGrid w:val="0"/>
          <w:sz w:val="20"/>
          <w:szCs w:val="20"/>
        </w:rPr>
        <w:tab/>
        <w:t>Verwaltungsgebühr, Ersatz von Aufwendungen, Abwicklungsgebühr</w:t>
      </w:r>
    </w:p>
    <w:p w:rsidR="00CD14E6" w:rsidRDefault="00CD14E6" w:rsidP="00331E5A">
      <w:pPr>
        <w:widowControl w:val="0"/>
        <w:spacing w:line="240" w:lineRule="exact"/>
        <w:ind w:left="0" w:firstLine="0"/>
        <w:rPr>
          <w:rFonts w:ascii="Swis721 Lt BT" w:hAnsi="Swis721 Lt BT" w:cs="Arial"/>
          <w:sz w:val="15"/>
          <w:szCs w:val="15"/>
        </w:rPr>
      </w:pPr>
    </w:p>
    <w:p w:rsidR="00943AA1" w:rsidRPr="006E0EB0" w:rsidRDefault="00943AA1" w:rsidP="00331E5A">
      <w:pPr>
        <w:widowControl w:val="0"/>
        <w:spacing w:line="240" w:lineRule="exact"/>
        <w:ind w:left="0" w:firstLine="0"/>
        <w:rPr>
          <w:rFonts w:ascii="Swis721 Lt BT" w:hAnsi="Swis721 Lt BT" w:cs="Arial"/>
          <w:sz w:val="15"/>
          <w:szCs w:val="15"/>
        </w:rPr>
      </w:pPr>
      <w:r w:rsidRPr="006E0EB0">
        <w:rPr>
          <w:rFonts w:ascii="Swis721 Lt BT" w:hAnsi="Swis721 Lt BT" w:cs="Arial"/>
          <w:sz w:val="15"/>
          <w:szCs w:val="15"/>
        </w:rPr>
        <w:t>Die Verwaltungsgesellschaft erhält für ihre Verwaltungstätigkeit eine jährliche Vergütung bis zu einer Höh</w:t>
      </w:r>
      <w:r w:rsidRPr="0001333C">
        <w:rPr>
          <w:rFonts w:ascii="Swis721 Lt BT" w:hAnsi="Swis721 Lt BT" w:cs="Arial"/>
          <w:sz w:val="15"/>
          <w:szCs w:val="15"/>
        </w:rPr>
        <w:t xml:space="preserve">e von </w:t>
      </w:r>
      <w:r w:rsidR="00DD525C">
        <w:rPr>
          <w:rFonts w:ascii="Swis721 Lt BT" w:hAnsi="Swis721 Lt BT" w:cs="Arial"/>
          <w:b/>
          <w:sz w:val="15"/>
          <w:szCs w:val="15"/>
        </w:rPr>
        <w:t>1,50 </w:t>
      </w:r>
      <w:proofErr w:type="spellStart"/>
      <w:r w:rsidRPr="0001333C">
        <w:rPr>
          <w:rFonts w:ascii="Swis721 Lt BT" w:hAnsi="Swis721 Lt BT" w:cs="Arial"/>
          <w:b/>
          <w:sz w:val="15"/>
          <w:szCs w:val="15"/>
        </w:rPr>
        <w:t>vH</w:t>
      </w:r>
      <w:proofErr w:type="spellEnd"/>
      <w:r w:rsidRPr="0001333C">
        <w:rPr>
          <w:rFonts w:ascii="Swis721 Lt BT" w:hAnsi="Swis721 Lt BT" w:cs="Arial"/>
          <w:sz w:val="15"/>
          <w:szCs w:val="15"/>
        </w:rPr>
        <w:t xml:space="preserve"> de</w:t>
      </w:r>
      <w:r w:rsidRPr="006E0EB0">
        <w:rPr>
          <w:rFonts w:ascii="Swis721 Lt BT" w:hAnsi="Swis721 Lt BT" w:cs="Arial"/>
          <w:sz w:val="15"/>
          <w:szCs w:val="15"/>
        </w:rPr>
        <w:t xml:space="preserve">s Fondsvermögens, die auf Grund der Monatsendwerte errechnet wird. </w:t>
      </w:r>
    </w:p>
    <w:p w:rsidR="00943AA1" w:rsidRDefault="00943AA1" w:rsidP="00331E5A">
      <w:pPr>
        <w:tabs>
          <w:tab w:val="num" w:pos="0"/>
        </w:tabs>
        <w:spacing w:line="240" w:lineRule="exact"/>
        <w:ind w:left="0" w:firstLine="0"/>
        <w:rPr>
          <w:rFonts w:ascii="Swis721 Lt BT" w:hAnsi="Swis721 Lt BT" w:cs="Arial"/>
          <w:snapToGrid w:val="0"/>
          <w:sz w:val="15"/>
          <w:szCs w:val="15"/>
        </w:rPr>
      </w:pPr>
    </w:p>
    <w:p w:rsidR="00DD525C" w:rsidRDefault="00DD525C" w:rsidP="00331E5A">
      <w:pPr>
        <w:tabs>
          <w:tab w:val="num" w:pos="0"/>
        </w:tabs>
        <w:spacing w:line="240" w:lineRule="exact"/>
        <w:ind w:left="0" w:firstLine="0"/>
        <w:rPr>
          <w:rFonts w:ascii="Swis721 Lt BT" w:hAnsi="Swis721 Lt BT" w:cs="Arial"/>
          <w:snapToGrid w:val="0"/>
          <w:sz w:val="15"/>
          <w:szCs w:val="15"/>
        </w:rPr>
      </w:pPr>
    </w:p>
    <w:p w:rsidR="00D05255" w:rsidRPr="00D05255" w:rsidRDefault="00943AA1" w:rsidP="00331E5A">
      <w:pPr>
        <w:tabs>
          <w:tab w:val="num" w:pos="0"/>
        </w:tabs>
        <w:spacing w:line="240" w:lineRule="exact"/>
        <w:ind w:left="0" w:firstLine="0"/>
        <w:rPr>
          <w:rFonts w:ascii="Swis721 Lt BT" w:hAnsi="Swis721 Lt BT" w:cs="Arial"/>
          <w:snapToGrid w:val="0"/>
          <w:sz w:val="15"/>
          <w:szCs w:val="15"/>
        </w:rPr>
      </w:pPr>
      <w:r w:rsidRPr="00D05255">
        <w:rPr>
          <w:rFonts w:ascii="Swis721 Lt BT" w:hAnsi="Swis721 Lt BT" w:cs="Arial"/>
          <w:snapToGrid w:val="0"/>
          <w:sz w:val="15"/>
          <w:szCs w:val="15"/>
        </w:rPr>
        <w:t xml:space="preserve">Die Verwaltungsgesellschaft hat Anspruch auf Ersatz aller durch die Verwaltung entstandenen Aufwendungen. </w:t>
      </w:r>
    </w:p>
    <w:p w:rsidR="00D05255" w:rsidRDefault="00D05255" w:rsidP="00D05255">
      <w:pPr>
        <w:widowControl w:val="0"/>
        <w:spacing w:line="240" w:lineRule="exact"/>
        <w:ind w:left="0" w:firstLine="0"/>
        <w:rPr>
          <w:rFonts w:ascii="Swis721 Lt BT" w:hAnsi="Swis721 Lt BT" w:cs="Arial"/>
          <w:snapToGrid w:val="0"/>
          <w:sz w:val="15"/>
          <w:szCs w:val="15"/>
          <w:highlight w:val="cyan"/>
        </w:rPr>
      </w:pPr>
    </w:p>
    <w:p w:rsidR="001A6D0D" w:rsidRDefault="00D05255" w:rsidP="00D05255">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 xml:space="preserve">Es liegt im Ermessen der Verwaltungsgesellschaft, eine Staffelung der Verwaltungsgebühr vorzunehmen. </w:t>
      </w:r>
    </w:p>
    <w:p w:rsidR="00D05255" w:rsidRPr="006E0EB0" w:rsidRDefault="00D05255" w:rsidP="00331E5A">
      <w:pPr>
        <w:tabs>
          <w:tab w:val="num" w:pos="0"/>
        </w:tabs>
        <w:spacing w:line="240" w:lineRule="exact"/>
        <w:ind w:left="0" w:firstLine="0"/>
        <w:rPr>
          <w:rFonts w:ascii="Swis721 Lt BT" w:hAnsi="Swis721 Lt BT" w:cs="Arial"/>
          <w:snapToGrid w:val="0"/>
          <w:sz w:val="15"/>
          <w:szCs w:val="15"/>
        </w:rPr>
      </w:pPr>
    </w:p>
    <w:p w:rsidR="00943AA1" w:rsidRPr="006E0EB0" w:rsidRDefault="00943AA1" w:rsidP="00331E5A">
      <w:pPr>
        <w:widowControl w:val="0"/>
        <w:spacing w:line="240" w:lineRule="exact"/>
        <w:ind w:left="0" w:firstLine="0"/>
        <w:rPr>
          <w:rFonts w:ascii="Swis721 Lt BT" w:hAnsi="Swis721 Lt BT" w:cs="Arial"/>
          <w:snapToGrid w:val="0"/>
          <w:sz w:val="15"/>
          <w:szCs w:val="15"/>
        </w:rPr>
      </w:pPr>
      <w:r w:rsidRPr="006E0EB0">
        <w:rPr>
          <w:rFonts w:ascii="Swis721 Lt BT" w:hAnsi="Swis721 Lt BT" w:cs="Arial"/>
          <w:snapToGrid w:val="0"/>
          <w:sz w:val="15"/>
          <w:szCs w:val="15"/>
        </w:rPr>
        <w:t>Die Kosten bei Einführung neuer Anteilsgattungen für bestehende Sondervermögen werden zu Lasten der Anteilspreise der neuen Anteilsgattungen in Rechnung gestellt.</w:t>
      </w:r>
    </w:p>
    <w:p w:rsidR="00D247CF" w:rsidRPr="006E0EB0" w:rsidRDefault="00D247CF" w:rsidP="00331E5A">
      <w:pPr>
        <w:tabs>
          <w:tab w:val="num" w:pos="0"/>
        </w:tabs>
        <w:spacing w:line="240" w:lineRule="exact"/>
        <w:ind w:left="0" w:firstLine="0"/>
        <w:rPr>
          <w:rFonts w:ascii="Swis721 Lt BT" w:hAnsi="Swis721 Lt BT" w:cs="Arial"/>
          <w:snapToGrid w:val="0"/>
          <w:sz w:val="15"/>
          <w:szCs w:val="15"/>
        </w:rPr>
      </w:pPr>
    </w:p>
    <w:p w:rsidR="00943AA1" w:rsidRDefault="00943AA1" w:rsidP="00331E5A">
      <w:pPr>
        <w:tabs>
          <w:tab w:val="num" w:pos="0"/>
        </w:tabs>
        <w:spacing w:line="240" w:lineRule="exact"/>
        <w:ind w:left="0" w:firstLine="0"/>
        <w:rPr>
          <w:rFonts w:ascii="Swis721 Lt BT" w:hAnsi="Swis721 Lt BT" w:cs="Arial"/>
          <w:snapToGrid w:val="0"/>
          <w:sz w:val="15"/>
          <w:szCs w:val="15"/>
        </w:rPr>
      </w:pPr>
      <w:r w:rsidRPr="008B6234">
        <w:rPr>
          <w:rFonts w:ascii="Swis721 Lt BT" w:hAnsi="Swis721 Lt BT" w:cs="Arial"/>
          <w:snapToGrid w:val="0"/>
          <w:sz w:val="15"/>
          <w:szCs w:val="15"/>
        </w:rPr>
        <w:t>Bei Abwicklung des Investmentfonds</w:t>
      </w:r>
      <w:r w:rsidR="00F209DC">
        <w:rPr>
          <w:rFonts w:ascii="Swis721 Lt BT" w:hAnsi="Swis721 Lt BT" w:cs="Arial"/>
          <w:snapToGrid w:val="0"/>
          <w:sz w:val="15"/>
          <w:szCs w:val="15"/>
        </w:rPr>
        <w:t xml:space="preserve"> </w:t>
      </w:r>
      <w:r w:rsidRPr="008B6234">
        <w:rPr>
          <w:rFonts w:ascii="Swis721 Lt BT" w:hAnsi="Swis721 Lt BT" w:cs="Arial"/>
          <w:snapToGrid w:val="0"/>
          <w:sz w:val="15"/>
          <w:szCs w:val="15"/>
        </w:rPr>
        <w:t xml:space="preserve">erhält die Depotbank eine Vergütung von </w:t>
      </w:r>
      <w:r w:rsidR="00BC150F" w:rsidRPr="001A6D0D">
        <w:rPr>
          <w:rFonts w:ascii="Swis721 Lt BT" w:hAnsi="Swis721 Lt BT" w:cs="Arial"/>
          <w:b/>
          <w:snapToGrid w:val="0"/>
          <w:sz w:val="15"/>
          <w:szCs w:val="15"/>
        </w:rPr>
        <w:t>0,5</w:t>
      </w:r>
      <w:r w:rsidR="001A6D0D">
        <w:rPr>
          <w:rFonts w:ascii="Swis721 Lt BT" w:hAnsi="Swis721 Lt BT" w:cs="Arial"/>
          <w:b/>
          <w:snapToGrid w:val="0"/>
          <w:sz w:val="15"/>
          <w:szCs w:val="15"/>
        </w:rPr>
        <w:t> </w:t>
      </w:r>
      <w:proofErr w:type="spellStart"/>
      <w:r w:rsidRPr="001A6D0D">
        <w:rPr>
          <w:rFonts w:ascii="Swis721 Lt BT" w:hAnsi="Swis721 Lt BT" w:cs="Arial"/>
          <w:b/>
          <w:snapToGrid w:val="0"/>
          <w:sz w:val="15"/>
          <w:szCs w:val="15"/>
        </w:rPr>
        <w:t>vH</w:t>
      </w:r>
      <w:proofErr w:type="spellEnd"/>
      <w:r w:rsidRPr="008B6234">
        <w:rPr>
          <w:rFonts w:ascii="Swis721 Lt BT" w:hAnsi="Swis721 Lt BT" w:cs="Arial"/>
          <w:snapToGrid w:val="0"/>
          <w:sz w:val="15"/>
          <w:szCs w:val="15"/>
        </w:rPr>
        <w:t xml:space="preserve"> des Fondsvermögens.</w:t>
      </w:r>
    </w:p>
    <w:p w:rsidR="00416527" w:rsidRDefault="00416527" w:rsidP="00331E5A">
      <w:pPr>
        <w:tabs>
          <w:tab w:val="num" w:pos="0"/>
        </w:tabs>
        <w:spacing w:line="240" w:lineRule="exact"/>
        <w:ind w:left="0" w:firstLine="0"/>
        <w:rPr>
          <w:rFonts w:ascii="Swis721 Lt BT" w:hAnsi="Swis721 Lt BT" w:cs="Arial"/>
          <w:snapToGrid w:val="0"/>
          <w:sz w:val="15"/>
          <w:szCs w:val="15"/>
        </w:rPr>
      </w:pPr>
    </w:p>
    <w:p w:rsidR="00534518" w:rsidRDefault="00534518" w:rsidP="00331E5A">
      <w:pPr>
        <w:tabs>
          <w:tab w:val="num" w:pos="0"/>
        </w:tabs>
        <w:spacing w:line="240" w:lineRule="exact"/>
        <w:ind w:left="0" w:firstLine="0"/>
        <w:rPr>
          <w:rFonts w:ascii="Swis721 Lt BT" w:hAnsi="Swis721 Lt BT" w:cs="Arial"/>
          <w:snapToGrid w:val="0"/>
          <w:sz w:val="15"/>
          <w:szCs w:val="15"/>
        </w:rPr>
      </w:pPr>
    </w:p>
    <w:p w:rsidR="00534518" w:rsidRDefault="00534518" w:rsidP="009537AD">
      <w:pPr>
        <w:pBdr>
          <w:top w:val="single" w:sz="4" w:space="1" w:color="auto"/>
          <w:left w:val="single" w:sz="4" w:space="4" w:color="auto"/>
          <w:bottom w:val="single" w:sz="4" w:space="1" w:color="auto"/>
          <w:right w:val="single" w:sz="4" w:space="4" w:color="auto"/>
        </w:pBdr>
        <w:tabs>
          <w:tab w:val="num" w:pos="0"/>
        </w:tabs>
        <w:spacing w:line="240" w:lineRule="exact"/>
        <w:ind w:left="0" w:firstLine="0"/>
        <w:rPr>
          <w:rFonts w:ascii="Swis721 Lt BT" w:hAnsi="Swis721 Lt BT" w:cs="Arial"/>
          <w:b/>
          <w:snapToGrid w:val="0"/>
          <w:sz w:val="15"/>
          <w:szCs w:val="15"/>
        </w:rPr>
      </w:pPr>
      <w:r w:rsidRPr="002A3997">
        <w:rPr>
          <w:rFonts w:ascii="Swis721 Lt BT" w:hAnsi="Swis721 Lt BT" w:cs="Arial"/>
          <w:b/>
          <w:snapToGrid w:val="0"/>
          <w:sz w:val="15"/>
          <w:szCs w:val="15"/>
        </w:rPr>
        <w:t>Nähere Angaben und Erläuterungen zu diesem Investmentfonds finden sich im Prospekt.</w:t>
      </w:r>
    </w:p>
    <w:p w:rsidR="0063798D" w:rsidRPr="0063798D" w:rsidRDefault="0063798D" w:rsidP="00331E5A">
      <w:pPr>
        <w:tabs>
          <w:tab w:val="num" w:pos="0"/>
        </w:tabs>
        <w:spacing w:line="240" w:lineRule="exact"/>
        <w:ind w:left="0" w:firstLine="0"/>
        <w:rPr>
          <w:rFonts w:ascii="Swis721 Lt BT" w:hAnsi="Swis721 Lt BT" w:cs="Arial"/>
          <w:snapToGrid w:val="0"/>
          <w:sz w:val="15"/>
          <w:szCs w:val="15"/>
        </w:rPr>
      </w:pPr>
    </w:p>
    <w:p w:rsidR="00BC150F" w:rsidRDefault="00BC150F">
      <w:pPr>
        <w:spacing w:after="200" w:line="240" w:lineRule="auto"/>
        <w:ind w:left="0" w:firstLine="0"/>
        <w:jc w:val="left"/>
        <w:rPr>
          <w:rFonts w:ascii="Swis721 Lt BT" w:hAnsi="Swis721 Lt BT"/>
          <w:sz w:val="15"/>
          <w:szCs w:val="15"/>
        </w:rPr>
      </w:pPr>
      <w:r>
        <w:rPr>
          <w:rFonts w:ascii="Swis721 Lt BT" w:hAnsi="Swis721 Lt BT"/>
          <w:sz w:val="15"/>
          <w:szCs w:val="15"/>
        </w:rPr>
        <w:br w:type="page"/>
      </w:r>
    </w:p>
    <w:p w:rsidR="00C94330" w:rsidRPr="00C94330" w:rsidRDefault="00C94330" w:rsidP="00C94330">
      <w:pPr>
        <w:pStyle w:val="berschrift1"/>
        <w:tabs>
          <w:tab w:val="clear" w:pos="420"/>
        </w:tabs>
        <w:spacing w:line="240" w:lineRule="exact"/>
        <w:ind w:left="0" w:firstLine="0"/>
        <w:contextualSpacing w:val="0"/>
        <w:jc w:val="left"/>
        <w:rPr>
          <w:sz w:val="15"/>
          <w:szCs w:val="15"/>
        </w:rPr>
      </w:pPr>
      <w:bookmarkStart w:id="0" w:name="_Toc42314015"/>
      <w:bookmarkStart w:id="1" w:name="_Toc48279934"/>
      <w:bookmarkStart w:id="2" w:name="_Toc48534692"/>
      <w:r w:rsidRPr="00C94330">
        <w:rPr>
          <w:sz w:val="15"/>
          <w:szCs w:val="15"/>
        </w:rPr>
        <w:lastRenderedPageBreak/>
        <w:t xml:space="preserve">Anhang </w:t>
      </w:r>
      <w:bookmarkEnd w:id="0"/>
      <w:bookmarkEnd w:id="1"/>
      <w:bookmarkEnd w:id="2"/>
    </w:p>
    <w:p w:rsidR="00C94330" w:rsidRPr="00C94330" w:rsidRDefault="00C94330" w:rsidP="00C94330">
      <w:pPr>
        <w:spacing w:line="240" w:lineRule="exact"/>
        <w:jc w:val="left"/>
        <w:rPr>
          <w:rFonts w:cs="Arial"/>
          <w:sz w:val="15"/>
          <w:szCs w:val="15"/>
        </w:rPr>
      </w:pPr>
    </w:p>
    <w:p w:rsidR="00C94330" w:rsidRPr="00C94330" w:rsidRDefault="00C94330" w:rsidP="00C94330">
      <w:pPr>
        <w:spacing w:line="240" w:lineRule="exact"/>
        <w:jc w:val="left"/>
        <w:rPr>
          <w:rFonts w:asciiTheme="majorHAnsi" w:hAnsiTheme="majorHAnsi" w:cs="Arial"/>
          <w:snapToGrid w:val="0"/>
          <w:sz w:val="15"/>
          <w:szCs w:val="15"/>
        </w:rPr>
      </w:pPr>
      <w:r w:rsidRPr="00C94330">
        <w:rPr>
          <w:rFonts w:asciiTheme="majorHAnsi" w:hAnsiTheme="majorHAnsi" w:cs="Arial"/>
          <w:snapToGrid w:val="0"/>
          <w:sz w:val="15"/>
          <w:szCs w:val="15"/>
        </w:rPr>
        <w:t>Liste der Börsen mit amtlichem Handel und von organisierten Märkten</w:t>
      </w:r>
    </w:p>
    <w:p w:rsidR="00C94330" w:rsidRPr="00C94330" w:rsidRDefault="00C94330" w:rsidP="00C94330">
      <w:pPr>
        <w:pStyle w:val="berschrift2"/>
        <w:tabs>
          <w:tab w:val="clear" w:pos="360"/>
        </w:tabs>
        <w:spacing w:line="240" w:lineRule="exact"/>
        <w:ind w:left="567" w:right="113" w:firstLine="0"/>
        <w:contextualSpacing w:val="0"/>
        <w:jc w:val="left"/>
        <w:rPr>
          <w:rFonts w:asciiTheme="minorHAnsi" w:hAnsiTheme="minorHAnsi"/>
          <w:snapToGrid w:val="0"/>
          <w:sz w:val="15"/>
          <w:szCs w:val="15"/>
        </w:rPr>
      </w:pPr>
      <w:bookmarkStart w:id="3" w:name="_Toc48534693"/>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r w:rsidRPr="00C94330">
        <w:rPr>
          <w:rFonts w:asciiTheme="majorHAnsi" w:hAnsiTheme="majorHAnsi" w:cs="Arial"/>
          <w:snapToGrid w:val="0"/>
          <w:sz w:val="15"/>
          <w:szCs w:val="15"/>
        </w:rPr>
        <w:t>1. Börsen mit amtlichem Handel und organisierten Märkten in den Mitgliedstaaten des E</w:t>
      </w:r>
      <w:bookmarkEnd w:id="3"/>
      <w:r w:rsidRPr="00C94330">
        <w:rPr>
          <w:rFonts w:asciiTheme="majorHAnsi" w:hAnsiTheme="majorHAnsi" w:cs="Arial"/>
          <w:snapToGrid w:val="0"/>
          <w:sz w:val="15"/>
          <w:szCs w:val="15"/>
        </w:rPr>
        <w:t>WR</w:t>
      </w:r>
    </w:p>
    <w:p w:rsidR="00C94330" w:rsidRPr="00C94330" w:rsidRDefault="00C94330" w:rsidP="00C94330">
      <w:pPr>
        <w:tabs>
          <w:tab w:val="num" w:pos="0"/>
        </w:tabs>
        <w:spacing w:line="240" w:lineRule="exact"/>
        <w:ind w:left="0" w:firstLine="0"/>
        <w:rPr>
          <w:rFonts w:ascii="Swis721 Lt BT" w:hAnsi="Swis721 Lt BT" w:cs="Arial"/>
          <w:snapToGrid w:val="0"/>
          <w:sz w:val="15"/>
          <w:szCs w:val="15"/>
        </w:rPr>
      </w:pPr>
      <w:r w:rsidRPr="00C94330">
        <w:rPr>
          <w:rFonts w:ascii="Swis721 Lt BT" w:hAnsi="Swis721 Lt BT" w:cs="Arial"/>
          <w:snapToGrid w:val="0"/>
          <w:sz w:val="15"/>
          <w:szCs w:val="15"/>
        </w:rPr>
        <w:t>Jeder Mitgliedstaat hat ein aktuelles Verzeichnis der von ihm genehmigten Märkte zu führen. Dieses Verzeichnis ist den anderen Mitgliedstaaten und der Kommission zu übermitteln.</w:t>
      </w:r>
    </w:p>
    <w:p w:rsidR="00C94330" w:rsidRPr="00C94330" w:rsidRDefault="00C94330" w:rsidP="00C94330">
      <w:pPr>
        <w:tabs>
          <w:tab w:val="num" w:pos="0"/>
        </w:tabs>
        <w:spacing w:line="240" w:lineRule="exact"/>
        <w:ind w:left="0" w:firstLine="0"/>
        <w:rPr>
          <w:rFonts w:ascii="Swis721 Lt BT" w:hAnsi="Swis721 Lt BT" w:cs="Arial"/>
          <w:snapToGrid w:val="0"/>
          <w:sz w:val="15"/>
          <w:szCs w:val="15"/>
        </w:rPr>
      </w:pPr>
      <w:r w:rsidRPr="00C94330">
        <w:rPr>
          <w:rFonts w:ascii="Swis721 Lt BT" w:hAnsi="Swis721 Lt BT" w:cs="Arial"/>
          <w:snapToGrid w:val="0"/>
          <w:sz w:val="15"/>
          <w:szCs w:val="15"/>
        </w:rPr>
        <w:t xml:space="preserve">Die Kommission ist gemäß dieser Bestimmung verpflichtet, einmal jährlich ein Verzeichnis der ihr mitgeteilten geregelten Märkte zu veröffentlichen. </w:t>
      </w:r>
    </w:p>
    <w:p w:rsidR="00C94330" w:rsidRPr="00C94330" w:rsidRDefault="00C94330" w:rsidP="00C94330">
      <w:pPr>
        <w:tabs>
          <w:tab w:val="num" w:pos="0"/>
        </w:tabs>
        <w:spacing w:line="240" w:lineRule="exact"/>
        <w:ind w:left="0" w:firstLine="0"/>
        <w:rPr>
          <w:rFonts w:ascii="Swis721 Lt BT" w:hAnsi="Swis721 Lt BT" w:cs="Arial"/>
          <w:snapToGrid w:val="0"/>
          <w:sz w:val="15"/>
          <w:szCs w:val="15"/>
        </w:rPr>
      </w:pPr>
      <w:r w:rsidRPr="00C94330">
        <w:rPr>
          <w:rFonts w:ascii="Swis721 Lt BT" w:hAnsi="Swis721 Lt BT" w:cs="Arial"/>
          <w:snapToGrid w:val="0"/>
          <w:sz w:val="15"/>
          <w:szCs w:val="15"/>
        </w:rPr>
        <w:t>Infolge verringerter Zugangsschranken und der Spezialisierung in Handelssegmente ist das Verzeichnis der „geregelten Märkte “größeren Veränderungen unterworfen. Die Kommission wird daher neben der jährlichen Veröffentlichung eines Verzeichnisses im Amtsblatt der Europäischen Gemeinschaften eine aktualisierte Fassung auf ihrer offiziellen Internetsite zugänglich machen.</w:t>
      </w:r>
    </w:p>
    <w:p w:rsidR="00C94330" w:rsidRPr="00C94330" w:rsidRDefault="00C94330" w:rsidP="00C94330">
      <w:pPr>
        <w:spacing w:line="240" w:lineRule="exact"/>
        <w:ind w:left="0"/>
        <w:jc w:val="left"/>
        <w:rPr>
          <w:rFonts w:cs="Arial"/>
          <w:snapToGrid w:val="0"/>
          <w:sz w:val="15"/>
          <w:szCs w:val="15"/>
        </w:rPr>
      </w:pPr>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r w:rsidRPr="00C94330">
        <w:rPr>
          <w:rFonts w:asciiTheme="majorHAnsi" w:hAnsiTheme="majorHAnsi" w:cs="Arial"/>
          <w:snapToGrid w:val="0"/>
          <w:sz w:val="15"/>
          <w:szCs w:val="15"/>
        </w:rPr>
        <w:t>1.1. Das aktuell gültige Verzeichnis der geregelten Märkte finden Sie unter</w:t>
      </w:r>
    </w:p>
    <w:p w:rsidR="00C94330" w:rsidRPr="00C94330" w:rsidRDefault="00B36ECF" w:rsidP="00C94330">
      <w:pPr>
        <w:spacing w:line="240" w:lineRule="exact"/>
        <w:ind w:left="0" w:firstLine="0"/>
        <w:jc w:val="left"/>
        <w:rPr>
          <w:rFonts w:cs="Arial"/>
          <w:sz w:val="15"/>
          <w:szCs w:val="15"/>
        </w:rPr>
      </w:pPr>
      <w:hyperlink r:id="rId9" w:history="1">
        <w:r w:rsidR="00C94330" w:rsidRPr="00C94330">
          <w:rPr>
            <w:rStyle w:val="Hyperlink"/>
            <w:rFonts w:cs="Arial"/>
            <w:sz w:val="15"/>
            <w:szCs w:val="15"/>
          </w:rPr>
          <w:t>http://mifiddatabase.esma.europa.eu/Index.aspx?sectionlinks_id=23&amp;language=0&amp;pageName=REGULATED_MARKETS_Display&amp;subsection_id=0</w:t>
        </w:r>
      </w:hyperlink>
      <w:bookmarkStart w:id="4" w:name="_GoBack"/>
      <w:r w:rsidR="00C94330" w:rsidRPr="00C94330">
        <w:rPr>
          <w:rStyle w:val="Funotenzeichen"/>
          <w:rFonts w:cs="Arial"/>
          <w:sz w:val="15"/>
          <w:szCs w:val="15"/>
        </w:rPr>
        <w:footnoteReference w:id="1"/>
      </w:r>
      <w:bookmarkEnd w:id="4"/>
    </w:p>
    <w:p w:rsidR="00C94330" w:rsidRPr="00C94330" w:rsidRDefault="00C94330" w:rsidP="00C94330">
      <w:pPr>
        <w:spacing w:line="240" w:lineRule="exact"/>
        <w:jc w:val="left"/>
        <w:rPr>
          <w:rFonts w:cs="Arial"/>
          <w:b/>
          <w:snapToGrid w:val="0"/>
          <w:sz w:val="15"/>
          <w:szCs w:val="15"/>
        </w:rPr>
      </w:pPr>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bookmarkStart w:id="5" w:name="_Toc48534694"/>
      <w:r w:rsidRPr="00C94330">
        <w:rPr>
          <w:rFonts w:asciiTheme="majorHAnsi" w:hAnsiTheme="majorHAnsi" w:cs="Arial"/>
          <w:snapToGrid w:val="0"/>
          <w:sz w:val="15"/>
          <w:szCs w:val="15"/>
        </w:rPr>
        <w:t>1.2. Folgende Börsen sind unter das Verzeichnis der Geregelten Märkte zu subsumieren:</w:t>
      </w:r>
    </w:p>
    <w:p w:rsidR="00C94330" w:rsidRPr="00C94330" w:rsidRDefault="00C94330" w:rsidP="00C94330">
      <w:pPr>
        <w:autoSpaceDE w:val="0"/>
        <w:autoSpaceDN w:val="0"/>
        <w:adjustRightInd w:val="0"/>
        <w:spacing w:line="240" w:lineRule="exact"/>
        <w:jc w:val="left"/>
        <w:rPr>
          <w:rFonts w:cs="Arial"/>
          <w:snapToGrid w:val="0"/>
          <w:sz w:val="15"/>
          <w:szCs w:val="15"/>
        </w:rPr>
      </w:pPr>
      <w:r w:rsidRPr="00C94330">
        <w:rPr>
          <w:rFonts w:cs="Arial"/>
          <w:snapToGrid w:val="0"/>
          <w:sz w:val="15"/>
          <w:szCs w:val="15"/>
        </w:rPr>
        <w:t>1.2.1.</w:t>
      </w:r>
      <w:r w:rsidRPr="00C94330">
        <w:rPr>
          <w:rFonts w:cs="Arial"/>
          <w:snapToGrid w:val="0"/>
          <w:sz w:val="15"/>
          <w:szCs w:val="15"/>
        </w:rPr>
        <w:tab/>
        <w:t>Luxemburg</w:t>
      </w:r>
      <w:r w:rsidRPr="00C94330">
        <w:rPr>
          <w:rFonts w:cs="Arial"/>
          <w:snapToGrid w:val="0"/>
          <w:sz w:val="15"/>
          <w:szCs w:val="15"/>
        </w:rPr>
        <w:tab/>
      </w:r>
      <w:r w:rsidRPr="00C94330">
        <w:rPr>
          <w:rFonts w:cs="Arial"/>
          <w:snapToGrid w:val="0"/>
          <w:sz w:val="15"/>
          <w:szCs w:val="15"/>
        </w:rPr>
        <w:tab/>
        <w:t>Euro MTF Luxemburg</w:t>
      </w:r>
    </w:p>
    <w:p w:rsidR="00C94330" w:rsidRPr="00C94330" w:rsidRDefault="00C94330" w:rsidP="00C94330">
      <w:pPr>
        <w:tabs>
          <w:tab w:val="left" w:pos="6525"/>
        </w:tabs>
        <w:autoSpaceDE w:val="0"/>
        <w:autoSpaceDN w:val="0"/>
        <w:adjustRightInd w:val="0"/>
        <w:spacing w:line="240" w:lineRule="exact"/>
        <w:jc w:val="left"/>
        <w:rPr>
          <w:rFonts w:cs="Arial"/>
          <w:b/>
          <w:snapToGrid w:val="0"/>
          <w:sz w:val="15"/>
          <w:szCs w:val="15"/>
        </w:rPr>
      </w:pPr>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r w:rsidRPr="00C94330">
        <w:rPr>
          <w:rFonts w:asciiTheme="majorHAnsi" w:hAnsiTheme="majorHAnsi" w:cs="Arial"/>
          <w:snapToGrid w:val="0"/>
          <w:sz w:val="15"/>
          <w:szCs w:val="15"/>
        </w:rPr>
        <w:t xml:space="preserve">1.3. Gemäß § 67 Abs. 2 Z 2 </w:t>
      </w:r>
      <w:proofErr w:type="spellStart"/>
      <w:r w:rsidRPr="00C94330">
        <w:rPr>
          <w:rFonts w:asciiTheme="majorHAnsi" w:hAnsiTheme="majorHAnsi" w:cs="Arial"/>
          <w:snapToGrid w:val="0"/>
          <w:sz w:val="15"/>
          <w:szCs w:val="15"/>
        </w:rPr>
        <w:t>InvFG</w:t>
      </w:r>
      <w:proofErr w:type="spellEnd"/>
      <w:r w:rsidRPr="00C94330">
        <w:rPr>
          <w:rFonts w:asciiTheme="majorHAnsi" w:hAnsiTheme="majorHAnsi" w:cs="Arial"/>
          <w:snapToGrid w:val="0"/>
          <w:sz w:val="15"/>
          <w:szCs w:val="15"/>
        </w:rPr>
        <w:t xml:space="preserve"> anerkannte Märkte in der EU:</w:t>
      </w:r>
    </w:p>
    <w:p w:rsidR="00C94330" w:rsidRPr="00C94330" w:rsidRDefault="00C94330" w:rsidP="00C94330">
      <w:pPr>
        <w:spacing w:line="240" w:lineRule="exact"/>
        <w:jc w:val="left"/>
        <w:rPr>
          <w:snapToGrid w:val="0"/>
          <w:sz w:val="15"/>
          <w:szCs w:val="15"/>
        </w:rPr>
      </w:pPr>
      <w:r w:rsidRPr="00C94330">
        <w:rPr>
          <w:snapToGrid w:val="0"/>
          <w:sz w:val="15"/>
          <w:szCs w:val="15"/>
        </w:rPr>
        <w:t xml:space="preserve">1.3.1. </w:t>
      </w:r>
      <w:r w:rsidRPr="00C94330">
        <w:rPr>
          <w:snapToGrid w:val="0"/>
          <w:sz w:val="15"/>
          <w:szCs w:val="15"/>
        </w:rPr>
        <w:tab/>
        <w:t>Großbritannien</w:t>
      </w:r>
      <w:r w:rsidRPr="00C94330">
        <w:rPr>
          <w:snapToGrid w:val="0"/>
          <w:sz w:val="15"/>
          <w:szCs w:val="15"/>
        </w:rPr>
        <w:tab/>
      </w:r>
      <w:r w:rsidRPr="00C94330">
        <w:rPr>
          <w:snapToGrid w:val="0"/>
          <w:sz w:val="15"/>
          <w:szCs w:val="15"/>
        </w:rPr>
        <w:tab/>
        <w:t>London Stock Exchange Alternative Investment Market (AIM)</w:t>
      </w:r>
    </w:p>
    <w:p w:rsidR="00C94330" w:rsidRPr="00C94330" w:rsidRDefault="00C94330" w:rsidP="00C94330">
      <w:pPr>
        <w:spacing w:line="240" w:lineRule="exact"/>
        <w:jc w:val="left"/>
        <w:rPr>
          <w:snapToGrid w:val="0"/>
          <w:sz w:val="15"/>
          <w:szCs w:val="15"/>
        </w:rPr>
      </w:pPr>
    </w:p>
    <w:p w:rsidR="00C94330" w:rsidRPr="00C94330" w:rsidRDefault="007823B5" w:rsidP="00C94330">
      <w:pPr>
        <w:tabs>
          <w:tab w:val="num" w:pos="0"/>
        </w:tabs>
        <w:spacing w:line="240" w:lineRule="exact"/>
        <w:ind w:left="0" w:firstLine="0"/>
        <w:rPr>
          <w:rFonts w:asciiTheme="majorHAnsi" w:hAnsiTheme="majorHAnsi" w:cs="Arial"/>
          <w:snapToGrid w:val="0"/>
          <w:sz w:val="15"/>
          <w:szCs w:val="15"/>
        </w:rPr>
      </w:pPr>
      <w:r>
        <w:rPr>
          <w:rFonts w:asciiTheme="majorHAnsi" w:hAnsiTheme="majorHAnsi" w:cs="Arial"/>
          <w:snapToGrid w:val="0"/>
          <w:sz w:val="15"/>
          <w:szCs w:val="15"/>
        </w:rPr>
        <w:t>1.4</w:t>
      </w:r>
      <w:r w:rsidR="00C94330" w:rsidRPr="00C94330">
        <w:rPr>
          <w:rFonts w:asciiTheme="majorHAnsi" w:hAnsiTheme="majorHAnsi" w:cs="Arial"/>
          <w:snapToGrid w:val="0"/>
          <w:sz w:val="15"/>
          <w:szCs w:val="15"/>
        </w:rPr>
        <w:t xml:space="preserve">. Gemäß § 67 Abs. 2 Z 2 </w:t>
      </w:r>
      <w:proofErr w:type="spellStart"/>
      <w:r w:rsidR="00C94330" w:rsidRPr="00C94330">
        <w:rPr>
          <w:rFonts w:asciiTheme="majorHAnsi" w:hAnsiTheme="majorHAnsi" w:cs="Arial"/>
          <w:snapToGrid w:val="0"/>
          <w:sz w:val="15"/>
          <w:szCs w:val="15"/>
        </w:rPr>
        <w:t>InvFG</w:t>
      </w:r>
      <w:proofErr w:type="spellEnd"/>
      <w:r w:rsidR="00C94330" w:rsidRPr="00C94330">
        <w:rPr>
          <w:rFonts w:asciiTheme="majorHAnsi" w:hAnsiTheme="majorHAnsi" w:cs="Arial"/>
          <w:snapToGrid w:val="0"/>
          <w:sz w:val="15"/>
          <w:szCs w:val="15"/>
        </w:rPr>
        <w:t xml:space="preserve"> anerkannte Märkte im EWR:</w:t>
      </w:r>
    </w:p>
    <w:p w:rsidR="00C94330" w:rsidRPr="00C94330" w:rsidRDefault="00C94330" w:rsidP="00C94330">
      <w:pPr>
        <w:spacing w:line="240" w:lineRule="exact"/>
        <w:jc w:val="left"/>
        <w:rPr>
          <w:rFonts w:cs="Arial"/>
          <w:b/>
          <w:snapToGrid w:val="0"/>
          <w:sz w:val="15"/>
          <w:szCs w:val="15"/>
        </w:rPr>
      </w:pPr>
      <w:r w:rsidRPr="00C94330">
        <w:rPr>
          <w:snapToGrid w:val="0"/>
          <w:sz w:val="15"/>
          <w:szCs w:val="15"/>
        </w:rPr>
        <w:t>Märkte im EWR, die von den jeweils zuständigen Aufsichtsbehörden als anerkannte Märkte eingestuft wer</w:t>
      </w:r>
      <w:r>
        <w:rPr>
          <w:snapToGrid w:val="0"/>
          <w:sz w:val="15"/>
          <w:szCs w:val="15"/>
        </w:rPr>
        <w:t>den.</w:t>
      </w:r>
    </w:p>
    <w:p w:rsidR="00C94330" w:rsidRPr="00C94330" w:rsidRDefault="00C94330" w:rsidP="00C94330">
      <w:pPr>
        <w:spacing w:line="240" w:lineRule="exact"/>
        <w:jc w:val="left"/>
        <w:rPr>
          <w:rFonts w:cs="Arial"/>
          <w:sz w:val="15"/>
          <w:szCs w:val="15"/>
        </w:rPr>
      </w:pPr>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r w:rsidRPr="00C94330">
        <w:rPr>
          <w:rFonts w:asciiTheme="majorHAnsi" w:hAnsiTheme="majorHAnsi" w:cs="Arial"/>
          <w:snapToGrid w:val="0"/>
          <w:sz w:val="15"/>
          <w:szCs w:val="15"/>
        </w:rPr>
        <w:t>2. Börsen in europäischen Ländern außerhalb der Mitgliedstaaten des EWR</w:t>
      </w:r>
      <w:bookmarkEnd w:id="5"/>
    </w:p>
    <w:p w:rsidR="00C94330" w:rsidRPr="00C94330" w:rsidRDefault="007823B5" w:rsidP="00C94330">
      <w:pPr>
        <w:autoSpaceDE w:val="0"/>
        <w:autoSpaceDN w:val="0"/>
        <w:adjustRightInd w:val="0"/>
        <w:spacing w:line="240" w:lineRule="exact"/>
        <w:jc w:val="left"/>
        <w:rPr>
          <w:rFonts w:cs="Arial"/>
          <w:color w:val="000000"/>
          <w:sz w:val="15"/>
          <w:szCs w:val="15"/>
        </w:rPr>
      </w:pPr>
      <w:r>
        <w:rPr>
          <w:rFonts w:cs="Arial"/>
          <w:color w:val="000000"/>
          <w:sz w:val="15"/>
          <w:szCs w:val="15"/>
        </w:rPr>
        <w:t>2.1.</w:t>
      </w:r>
      <w:r>
        <w:rPr>
          <w:rFonts w:cs="Arial"/>
          <w:color w:val="000000"/>
          <w:sz w:val="15"/>
          <w:szCs w:val="15"/>
        </w:rPr>
        <w:tab/>
        <w:t>Bosnien Herzegowina:</w:t>
      </w:r>
      <w:r>
        <w:rPr>
          <w:rFonts w:cs="Arial"/>
          <w:color w:val="000000"/>
          <w:sz w:val="15"/>
          <w:szCs w:val="15"/>
        </w:rPr>
        <w:tab/>
      </w:r>
      <w:r w:rsidR="00C94330" w:rsidRPr="00C94330">
        <w:rPr>
          <w:rFonts w:cs="Arial"/>
          <w:color w:val="000000"/>
          <w:sz w:val="15"/>
          <w:szCs w:val="15"/>
        </w:rPr>
        <w:t>Sarajevo, Banja Luka</w:t>
      </w:r>
    </w:p>
    <w:p w:rsidR="00C94330" w:rsidRPr="00313DC1" w:rsidRDefault="007823B5" w:rsidP="00C94330">
      <w:pPr>
        <w:autoSpaceDE w:val="0"/>
        <w:autoSpaceDN w:val="0"/>
        <w:adjustRightInd w:val="0"/>
        <w:spacing w:line="240" w:lineRule="exact"/>
        <w:jc w:val="left"/>
        <w:rPr>
          <w:rFonts w:cs="Arial"/>
          <w:color w:val="000000"/>
          <w:sz w:val="15"/>
          <w:szCs w:val="15"/>
        </w:rPr>
      </w:pPr>
      <w:r w:rsidRPr="00313DC1">
        <w:rPr>
          <w:rFonts w:cs="Arial"/>
          <w:color w:val="000000"/>
          <w:sz w:val="15"/>
          <w:szCs w:val="15"/>
        </w:rPr>
        <w:t>2.2.</w:t>
      </w:r>
      <w:r w:rsidRPr="00313DC1">
        <w:rPr>
          <w:rFonts w:cs="Arial"/>
          <w:color w:val="000000"/>
          <w:sz w:val="15"/>
          <w:szCs w:val="15"/>
        </w:rPr>
        <w:tab/>
        <w:t>Kroatien:</w:t>
      </w:r>
      <w:r w:rsidRPr="00313DC1">
        <w:rPr>
          <w:rFonts w:cs="Arial"/>
          <w:color w:val="000000"/>
          <w:sz w:val="15"/>
          <w:szCs w:val="15"/>
        </w:rPr>
        <w:tab/>
      </w:r>
      <w:r w:rsidRPr="00313DC1">
        <w:rPr>
          <w:rFonts w:cs="Arial"/>
          <w:color w:val="000000"/>
          <w:sz w:val="15"/>
          <w:szCs w:val="15"/>
        </w:rPr>
        <w:tab/>
      </w:r>
      <w:r w:rsidR="00C94330" w:rsidRPr="00313DC1">
        <w:rPr>
          <w:rFonts w:cs="Arial"/>
          <w:color w:val="000000"/>
          <w:sz w:val="15"/>
          <w:szCs w:val="15"/>
        </w:rPr>
        <w:t xml:space="preserve">Zagreb Stock Exchange </w:t>
      </w:r>
    </w:p>
    <w:p w:rsidR="00C94330" w:rsidRPr="00C94330" w:rsidRDefault="007823B5" w:rsidP="00C94330">
      <w:pPr>
        <w:autoSpaceDE w:val="0"/>
        <w:autoSpaceDN w:val="0"/>
        <w:adjustRightInd w:val="0"/>
        <w:spacing w:line="240" w:lineRule="exact"/>
        <w:jc w:val="left"/>
        <w:rPr>
          <w:rFonts w:cs="Arial"/>
          <w:color w:val="000000"/>
          <w:sz w:val="15"/>
          <w:szCs w:val="15"/>
          <w:lang w:val="en-US"/>
        </w:rPr>
      </w:pPr>
      <w:r>
        <w:rPr>
          <w:rFonts w:cs="Arial"/>
          <w:color w:val="000000"/>
          <w:sz w:val="15"/>
          <w:szCs w:val="15"/>
          <w:lang w:val="en-US"/>
        </w:rPr>
        <w:t>2.3.</w:t>
      </w:r>
      <w:r>
        <w:rPr>
          <w:rFonts w:cs="Arial"/>
          <w:color w:val="000000"/>
          <w:sz w:val="15"/>
          <w:szCs w:val="15"/>
          <w:lang w:val="en-US"/>
        </w:rPr>
        <w:tab/>
        <w:t>Montenegro:</w:t>
      </w:r>
      <w:r>
        <w:rPr>
          <w:rFonts w:cs="Arial"/>
          <w:color w:val="000000"/>
          <w:sz w:val="15"/>
          <w:szCs w:val="15"/>
          <w:lang w:val="en-US"/>
        </w:rPr>
        <w:tab/>
      </w:r>
      <w:r>
        <w:rPr>
          <w:rFonts w:cs="Arial"/>
          <w:color w:val="000000"/>
          <w:sz w:val="15"/>
          <w:szCs w:val="15"/>
          <w:lang w:val="en-US"/>
        </w:rPr>
        <w:tab/>
      </w:r>
      <w:proofErr w:type="spellStart"/>
      <w:r w:rsidR="00C94330" w:rsidRPr="00C94330">
        <w:rPr>
          <w:rFonts w:cs="Arial"/>
          <w:color w:val="000000"/>
          <w:sz w:val="15"/>
          <w:szCs w:val="15"/>
          <w:lang w:val="en-US"/>
        </w:rPr>
        <w:t>Podgorica</w:t>
      </w:r>
      <w:proofErr w:type="spellEnd"/>
    </w:p>
    <w:p w:rsidR="00C94330" w:rsidRPr="00C94330" w:rsidRDefault="007823B5" w:rsidP="004D2A37">
      <w:pPr>
        <w:tabs>
          <w:tab w:val="left" w:pos="1134"/>
          <w:tab w:val="left" w:pos="2835"/>
        </w:tabs>
        <w:autoSpaceDE w:val="0"/>
        <w:autoSpaceDN w:val="0"/>
        <w:adjustRightInd w:val="0"/>
        <w:spacing w:line="240" w:lineRule="exact"/>
        <w:ind w:left="2835" w:hanging="2835"/>
        <w:jc w:val="left"/>
        <w:rPr>
          <w:rFonts w:cs="Arial"/>
          <w:color w:val="000000"/>
          <w:sz w:val="15"/>
          <w:szCs w:val="15"/>
          <w:lang w:val="en-GB"/>
        </w:rPr>
      </w:pPr>
      <w:r w:rsidRPr="004D2A37">
        <w:rPr>
          <w:rFonts w:cs="Arial"/>
          <w:color w:val="000000"/>
          <w:sz w:val="15"/>
          <w:szCs w:val="15"/>
          <w:lang w:val="en-US"/>
        </w:rPr>
        <w:t>2.4.</w:t>
      </w:r>
      <w:r w:rsidRPr="004D2A37">
        <w:rPr>
          <w:rFonts w:cs="Arial"/>
          <w:color w:val="000000"/>
          <w:sz w:val="15"/>
          <w:szCs w:val="15"/>
          <w:lang w:val="en-US"/>
        </w:rPr>
        <w:tab/>
      </w:r>
      <w:proofErr w:type="spellStart"/>
      <w:r w:rsidRPr="004D2A37">
        <w:rPr>
          <w:rFonts w:cs="Arial"/>
          <w:color w:val="000000"/>
          <w:sz w:val="15"/>
          <w:szCs w:val="15"/>
          <w:lang w:val="en-US"/>
        </w:rPr>
        <w:t>Russland</w:t>
      </w:r>
      <w:proofErr w:type="spellEnd"/>
      <w:r w:rsidRPr="004D2A37">
        <w:rPr>
          <w:rFonts w:cs="Arial"/>
          <w:color w:val="000000"/>
          <w:sz w:val="15"/>
          <w:szCs w:val="15"/>
          <w:lang w:val="en-US"/>
        </w:rPr>
        <w:t>:</w:t>
      </w:r>
      <w:r w:rsidR="00C94330" w:rsidRPr="004D2A37">
        <w:rPr>
          <w:rFonts w:cs="Arial"/>
          <w:color w:val="000000"/>
          <w:sz w:val="15"/>
          <w:szCs w:val="15"/>
          <w:lang w:val="en-US"/>
        </w:rPr>
        <w:tab/>
      </w:r>
      <w:proofErr w:type="spellStart"/>
      <w:r w:rsidR="00C94330" w:rsidRPr="004D2A37">
        <w:rPr>
          <w:rFonts w:cs="Arial"/>
          <w:color w:val="000000"/>
          <w:sz w:val="15"/>
          <w:szCs w:val="15"/>
          <w:lang w:val="en-US"/>
        </w:rPr>
        <w:t>Moskau</w:t>
      </w:r>
      <w:proofErr w:type="spellEnd"/>
      <w:r w:rsidR="00C94330" w:rsidRPr="004D2A37">
        <w:rPr>
          <w:rFonts w:cs="Arial"/>
          <w:color w:val="000000"/>
          <w:sz w:val="15"/>
          <w:szCs w:val="15"/>
          <w:lang w:val="en-US"/>
        </w:rPr>
        <w:t xml:space="preserve"> (RTS Stock Exchange)</w:t>
      </w:r>
      <w:proofErr w:type="gramStart"/>
      <w:r w:rsidR="00C94330" w:rsidRPr="004D2A37">
        <w:rPr>
          <w:rFonts w:cs="Arial"/>
          <w:color w:val="000000"/>
          <w:sz w:val="15"/>
          <w:szCs w:val="15"/>
          <w:lang w:val="en-US"/>
        </w:rPr>
        <w:t>;</w:t>
      </w:r>
      <w:proofErr w:type="gramEnd"/>
      <w:r w:rsidR="00C94330" w:rsidRPr="004D2A37">
        <w:rPr>
          <w:rFonts w:cs="Arial"/>
          <w:color w:val="000000"/>
          <w:sz w:val="15"/>
          <w:szCs w:val="15"/>
          <w:lang w:val="en-US"/>
        </w:rPr>
        <w:br/>
      </w:r>
      <w:r w:rsidR="00C94330" w:rsidRPr="00C94330">
        <w:rPr>
          <w:rFonts w:cs="Arial"/>
          <w:color w:val="000000"/>
          <w:sz w:val="15"/>
          <w:szCs w:val="15"/>
          <w:lang w:val="en-GB"/>
        </w:rPr>
        <w:t>Moscow Interbank Currency Exchange (MICEX)</w:t>
      </w:r>
    </w:p>
    <w:p w:rsidR="00C94330" w:rsidRPr="00C94330" w:rsidRDefault="007823B5" w:rsidP="00C94330">
      <w:pPr>
        <w:autoSpaceDE w:val="0"/>
        <w:autoSpaceDN w:val="0"/>
        <w:adjustRightInd w:val="0"/>
        <w:spacing w:line="240" w:lineRule="exact"/>
        <w:jc w:val="left"/>
        <w:rPr>
          <w:rFonts w:cs="Arial"/>
          <w:color w:val="000000"/>
          <w:sz w:val="15"/>
          <w:szCs w:val="15"/>
        </w:rPr>
      </w:pPr>
      <w:r w:rsidRPr="007823B5">
        <w:rPr>
          <w:rFonts w:cs="Arial"/>
          <w:color w:val="000000"/>
          <w:sz w:val="15"/>
          <w:szCs w:val="15"/>
          <w:lang w:val="de-AT"/>
        </w:rPr>
        <w:t>2.5.</w:t>
      </w:r>
      <w:r w:rsidRPr="007823B5">
        <w:rPr>
          <w:rFonts w:cs="Arial"/>
          <w:color w:val="000000"/>
          <w:sz w:val="15"/>
          <w:szCs w:val="15"/>
          <w:lang w:val="de-AT"/>
        </w:rPr>
        <w:tab/>
        <w:t>Schweiz:</w:t>
      </w:r>
      <w:r w:rsidRPr="007823B5">
        <w:rPr>
          <w:rFonts w:cs="Arial"/>
          <w:color w:val="000000"/>
          <w:sz w:val="15"/>
          <w:szCs w:val="15"/>
          <w:lang w:val="de-AT"/>
        </w:rPr>
        <w:tab/>
      </w:r>
      <w:r w:rsidRPr="007823B5">
        <w:rPr>
          <w:rFonts w:cs="Arial"/>
          <w:color w:val="000000"/>
          <w:sz w:val="15"/>
          <w:szCs w:val="15"/>
          <w:lang w:val="de-AT"/>
        </w:rPr>
        <w:tab/>
      </w:r>
      <w:r w:rsidR="00C94330" w:rsidRPr="007823B5">
        <w:rPr>
          <w:rFonts w:cs="Arial"/>
          <w:color w:val="000000"/>
          <w:sz w:val="15"/>
          <w:szCs w:val="15"/>
          <w:lang w:val="de-AT"/>
        </w:rPr>
        <w:t xml:space="preserve">SWX </w:t>
      </w:r>
      <w:proofErr w:type="spellStart"/>
      <w:r w:rsidR="00C94330" w:rsidRPr="007823B5">
        <w:rPr>
          <w:rFonts w:cs="Arial"/>
          <w:color w:val="000000"/>
          <w:sz w:val="15"/>
          <w:szCs w:val="15"/>
          <w:lang w:val="de-AT"/>
        </w:rPr>
        <w:t>Sw</w:t>
      </w:r>
      <w:proofErr w:type="spellEnd"/>
      <w:r w:rsidR="00C94330" w:rsidRPr="00C94330">
        <w:rPr>
          <w:rFonts w:cs="Arial"/>
          <w:color w:val="000000"/>
          <w:sz w:val="15"/>
          <w:szCs w:val="15"/>
        </w:rPr>
        <w:t>iss-Exchange</w:t>
      </w:r>
    </w:p>
    <w:p w:rsidR="00C94330" w:rsidRPr="00C94330" w:rsidRDefault="007823B5" w:rsidP="00C94330">
      <w:pPr>
        <w:autoSpaceDE w:val="0"/>
        <w:autoSpaceDN w:val="0"/>
        <w:adjustRightInd w:val="0"/>
        <w:spacing w:line="240" w:lineRule="exact"/>
        <w:jc w:val="left"/>
        <w:rPr>
          <w:rFonts w:cs="Arial"/>
          <w:color w:val="000000"/>
          <w:sz w:val="15"/>
          <w:szCs w:val="15"/>
        </w:rPr>
      </w:pPr>
      <w:r>
        <w:rPr>
          <w:rFonts w:cs="Arial"/>
          <w:color w:val="000000"/>
          <w:sz w:val="15"/>
          <w:szCs w:val="15"/>
        </w:rPr>
        <w:t>2.6.</w:t>
      </w:r>
      <w:r>
        <w:rPr>
          <w:rFonts w:cs="Arial"/>
          <w:color w:val="000000"/>
          <w:sz w:val="15"/>
          <w:szCs w:val="15"/>
        </w:rPr>
        <w:tab/>
        <w:t>Serbien:</w:t>
      </w:r>
      <w:r>
        <w:rPr>
          <w:rFonts w:cs="Arial"/>
          <w:color w:val="000000"/>
          <w:sz w:val="15"/>
          <w:szCs w:val="15"/>
        </w:rPr>
        <w:tab/>
      </w:r>
      <w:r>
        <w:rPr>
          <w:rFonts w:cs="Arial"/>
          <w:color w:val="000000"/>
          <w:sz w:val="15"/>
          <w:szCs w:val="15"/>
        </w:rPr>
        <w:tab/>
      </w:r>
      <w:r w:rsidR="00C94330" w:rsidRPr="00C94330">
        <w:rPr>
          <w:rFonts w:cs="Arial"/>
          <w:color w:val="000000"/>
          <w:sz w:val="15"/>
          <w:szCs w:val="15"/>
        </w:rPr>
        <w:t>Belgrad</w:t>
      </w:r>
    </w:p>
    <w:p w:rsidR="00C94330" w:rsidRDefault="00C94330" w:rsidP="00C94330">
      <w:pPr>
        <w:autoSpaceDE w:val="0"/>
        <w:autoSpaceDN w:val="0"/>
        <w:adjustRightInd w:val="0"/>
        <w:spacing w:line="240" w:lineRule="exact"/>
        <w:jc w:val="left"/>
        <w:rPr>
          <w:rFonts w:cs="Arial"/>
          <w:color w:val="000000"/>
          <w:sz w:val="15"/>
          <w:szCs w:val="15"/>
        </w:rPr>
      </w:pPr>
      <w:r w:rsidRPr="00C94330">
        <w:rPr>
          <w:rFonts w:cs="Arial"/>
          <w:color w:val="000000"/>
          <w:sz w:val="15"/>
          <w:szCs w:val="15"/>
        </w:rPr>
        <w:t>2.7.</w:t>
      </w:r>
      <w:r w:rsidR="007823B5">
        <w:rPr>
          <w:rFonts w:cs="Arial"/>
          <w:color w:val="000000"/>
          <w:sz w:val="15"/>
          <w:szCs w:val="15"/>
        </w:rPr>
        <w:tab/>
        <w:t>Türkei:</w:t>
      </w:r>
      <w:r w:rsidR="007823B5">
        <w:rPr>
          <w:rFonts w:cs="Arial"/>
          <w:color w:val="000000"/>
          <w:sz w:val="15"/>
          <w:szCs w:val="15"/>
        </w:rPr>
        <w:tab/>
      </w:r>
      <w:r w:rsidR="007823B5">
        <w:rPr>
          <w:rFonts w:cs="Arial"/>
          <w:color w:val="000000"/>
          <w:sz w:val="15"/>
          <w:szCs w:val="15"/>
        </w:rPr>
        <w:tab/>
      </w:r>
      <w:r w:rsidRPr="00C94330">
        <w:rPr>
          <w:rFonts w:cs="Arial"/>
          <w:color w:val="000000"/>
          <w:sz w:val="15"/>
          <w:szCs w:val="15"/>
        </w:rPr>
        <w:t>Istanbul (betr. Stock Market nur "National Market")</w:t>
      </w:r>
    </w:p>
    <w:p w:rsidR="00C94330" w:rsidRPr="00C94330" w:rsidRDefault="00C94330" w:rsidP="00C94330">
      <w:pPr>
        <w:autoSpaceDE w:val="0"/>
        <w:autoSpaceDN w:val="0"/>
        <w:adjustRightInd w:val="0"/>
        <w:spacing w:line="240" w:lineRule="exact"/>
        <w:jc w:val="left"/>
        <w:rPr>
          <w:rFonts w:cs="Arial"/>
          <w:color w:val="000000"/>
          <w:sz w:val="15"/>
          <w:szCs w:val="15"/>
        </w:rPr>
      </w:pPr>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bookmarkStart w:id="6" w:name="_Toc48534695"/>
      <w:r w:rsidRPr="00C94330">
        <w:rPr>
          <w:rFonts w:asciiTheme="majorHAnsi" w:hAnsiTheme="majorHAnsi" w:cs="Arial"/>
          <w:snapToGrid w:val="0"/>
          <w:sz w:val="15"/>
          <w:szCs w:val="15"/>
        </w:rPr>
        <w:t>3. Börsen in außereuropäischen Ländern</w:t>
      </w:r>
      <w:bookmarkEnd w:id="6"/>
    </w:p>
    <w:p w:rsidR="00C94330" w:rsidRPr="00C94330" w:rsidRDefault="00C94330" w:rsidP="00C94330">
      <w:pPr>
        <w:spacing w:line="240" w:lineRule="exact"/>
        <w:jc w:val="left"/>
        <w:rPr>
          <w:rFonts w:cs="Arial"/>
          <w:snapToGrid w:val="0"/>
          <w:sz w:val="15"/>
          <w:szCs w:val="15"/>
        </w:rPr>
      </w:pPr>
      <w:r w:rsidRPr="00C94330">
        <w:rPr>
          <w:rFonts w:cs="Arial"/>
          <w:snapToGrid w:val="0"/>
          <w:sz w:val="15"/>
          <w:szCs w:val="15"/>
        </w:rPr>
        <w:t>3.1.</w:t>
      </w:r>
      <w:r w:rsidRPr="00C94330">
        <w:rPr>
          <w:rFonts w:cs="Arial"/>
          <w:snapToGrid w:val="0"/>
          <w:sz w:val="15"/>
          <w:szCs w:val="15"/>
        </w:rPr>
        <w:tab/>
        <w:t>Australien:</w:t>
      </w:r>
      <w:r w:rsidRPr="00C94330">
        <w:rPr>
          <w:rFonts w:cs="Arial"/>
          <w:snapToGrid w:val="0"/>
          <w:sz w:val="15"/>
          <w:szCs w:val="15"/>
        </w:rPr>
        <w:tab/>
      </w:r>
      <w:r w:rsidRPr="00C94330">
        <w:rPr>
          <w:rFonts w:cs="Arial"/>
          <w:snapToGrid w:val="0"/>
          <w:sz w:val="15"/>
          <w:szCs w:val="15"/>
        </w:rPr>
        <w:tab/>
        <w:t>Sydney, Hobart, Melbourne, Perth</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3.2.</w:t>
      </w:r>
      <w:r w:rsidRPr="00C94330">
        <w:rPr>
          <w:rFonts w:cs="Arial"/>
          <w:snapToGrid w:val="0"/>
          <w:sz w:val="15"/>
          <w:szCs w:val="15"/>
          <w:lang w:val="en-US"/>
        </w:rPr>
        <w:tab/>
      </w:r>
      <w:proofErr w:type="spellStart"/>
      <w:r w:rsidRPr="00C94330">
        <w:rPr>
          <w:rFonts w:cs="Arial"/>
          <w:snapToGrid w:val="0"/>
          <w:sz w:val="15"/>
          <w:szCs w:val="15"/>
          <w:lang w:val="en-US"/>
        </w:rPr>
        <w:t>Argentinien</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Buenos Aires</w:t>
      </w:r>
    </w:p>
    <w:p w:rsidR="00C94330" w:rsidRPr="00C94330" w:rsidRDefault="00C94330" w:rsidP="00C94330">
      <w:pPr>
        <w:spacing w:line="240" w:lineRule="exact"/>
        <w:jc w:val="left"/>
        <w:rPr>
          <w:rFonts w:cs="Arial"/>
          <w:snapToGrid w:val="0"/>
          <w:sz w:val="15"/>
          <w:szCs w:val="15"/>
          <w:lang w:val="it-IT"/>
        </w:rPr>
      </w:pPr>
      <w:r w:rsidRPr="00C94330">
        <w:rPr>
          <w:rFonts w:cs="Arial"/>
          <w:snapToGrid w:val="0"/>
          <w:sz w:val="15"/>
          <w:szCs w:val="15"/>
          <w:lang w:val="en-US"/>
        </w:rPr>
        <w:t>3.3.</w:t>
      </w:r>
      <w:r w:rsidRPr="00C94330">
        <w:rPr>
          <w:rFonts w:cs="Arial"/>
          <w:snapToGrid w:val="0"/>
          <w:sz w:val="15"/>
          <w:szCs w:val="15"/>
          <w:lang w:val="en-US"/>
        </w:rPr>
        <w:tab/>
        <w:t>Br</w:t>
      </w:r>
      <w:proofErr w:type="spellStart"/>
      <w:r w:rsidRPr="00C94330">
        <w:rPr>
          <w:rFonts w:cs="Arial"/>
          <w:snapToGrid w:val="0"/>
          <w:sz w:val="15"/>
          <w:szCs w:val="15"/>
          <w:lang w:val="it-IT"/>
        </w:rPr>
        <w:t>asilien</w:t>
      </w:r>
      <w:proofErr w:type="spellEnd"/>
      <w:r w:rsidRPr="00C94330">
        <w:rPr>
          <w:rFonts w:cs="Arial"/>
          <w:snapToGrid w:val="0"/>
          <w:sz w:val="15"/>
          <w:szCs w:val="15"/>
          <w:lang w:val="it-IT"/>
        </w:rPr>
        <w:t>:</w:t>
      </w:r>
      <w:r w:rsidRPr="00C94330">
        <w:rPr>
          <w:rFonts w:cs="Arial"/>
          <w:snapToGrid w:val="0"/>
          <w:sz w:val="15"/>
          <w:szCs w:val="15"/>
          <w:lang w:val="it-IT"/>
        </w:rPr>
        <w:tab/>
      </w:r>
      <w:r w:rsidRPr="00C94330">
        <w:rPr>
          <w:rFonts w:cs="Arial"/>
          <w:snapToGrid w:val="0"/>
          <w:sz w:val="15"/>
          <w:szCs w:val="15"/>
          <w:lang w:val="it-IT"/>
        </w:rPr>
        <w:tab/>
        <w:t>Rio de Janeiro, Sao Paulo</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3.4.</w:t>
      </w:r>
      <w:r>
        <w:rPr>
          <w:rFonts w:cs="Arial"/>
          <w:snapToGrid w:val="0"/>
          <w:sz w:val="15"/>
          <w:szCs w:val="15"/>
          <w:lang w:val="en-US"/>
        </w:rPr>
        <w:tab/>
        <w:t>Chile:</w:t>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Santiago</w:t>
      </w:r>
    </w:p>
    <w:p w:rsidR="00C94330" w:rsidRPr="00C94330" w:rsidRDefault="00C94330" w:rsidP="00C94330">
      <w:pPr>
        <w:spacing w:line="240" w:lineRule="exact"/>
        <w:jc w:val="left"/>
        <w:rPr>
          <w:rFonts w:cs="Arial"/>
          <w:sz w:val="15"/>
          <w:szCs w:val="15"/>
          <w:lang w:val="en-US"/>
        </w:rPr>
      </w:pPr>
      <w:r w:rsidRPr="00C94330">
        <w:rPr>
          <w:rFonts w:cs="Arial"/>
          <w:snapToGrid w:val="0"/>
          <w:sz w:val="15"/>
          <w:szCs w:val="15"/>
          <w:lang w:val="en-US"/>
        </w:rPr>
        <w:t>3.5.</w:t>
      </w:r>
      <w:r w:rsidRPr="00C94330">
        <w:rPr>
          <w:rFonts w:cs="Arial"/>
          <w:snapToGrid w:val="0"/>
          <w:sz w:val="15"/>
          <w:szCs w:val="15"/>
          <w:lang w:val="en-US"/>
        </w:rPr>
        <w:tab/>
      </w:r>
      <w:r w:rsidRPr="00C94330">
        <w:rPr>
          <w:rFonts w:cs="Arial"/>
          <w:sz w:val="15"/>
          <w:szCs w:val="15"/>
          <w:lang w:val="en-US"/>
        </w:rPr>
        <w:t>China:</w:t>
      </w:r>
      <w:r>
        <w:rPr>
          <w:rFonts w:cs="Arial"/>
          <w:sz w:val="15"/>
          <w:szCs w:val="15"/>
          <w:lang w:val="en-US"/>
        </w:rPr>
        <w:tab/>
      </w:r>
      <w:r>
        <w:rPr>
          <w:rFonts w:cs="Arial"/>
          <w:sz w:val="15"/>
          <w:szCs w:val="15"/>
          <w:lang w:val="en-US"/>
        </w:rPr>
        <w:tab/>
      </w:r>
      <w:r w:rsidRPr="00C94330">
        <w:rPr>
          <w:rFonts w:cs="Arial"/>
          <w:sz w:val="15"/>
          <w:szCs w:val="15"/>
          <w:lang w:val="en-US"/>
        </w:rPr>
        <w:t>Shanghai Stock Exchange, Shenzhen Stock Exchange</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3.6.</w:t>
      </w:r>
      <w:r w:rsidRPr="00C94330">
        <w:rPr>
          <w:rFonts w:cs="Arial"/>
          <w:snapToGrid w:val="0"/>
          <w:sz w:val="15"/>
          <w:szCs w:val="15"/>
          <w:lang w:val="en-US"/>
        </w:rPr>
        <w:tab/>
      </w:r>
      <w:proofErr w:type="spellStart"/>
      <w:r w:rsidRPr="00C94330">
        <w:rPr>
          <w:rFonts w:cs="Arial"/>
          <w:snapToGrid w:val="0"/>
          <w:sz w:val="15"/>
          <w:szCs w:val="15"/>
          <w:lang w:val="en-US"/>
        </w:rPr>
        <w:t>Hongkong</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r>
      <w:proofErr w:type="spellStart"/>
      <w:r w:rsidRPr="00C94330">
        <w:rPr>
          <w:rFonts w:cs="Arial"/>
          <w:snapToGrid w:val="0"/>
          <w:sz w:val="15"/>
          <w:szCs w:val="15"/>
          <w:lang w:val="en-US"/>
        </w:rPr>
        <w:t>Hongkong</w:t>
      </w:r>
      <w:proofErr w:type="spellEnd"/>
      <w:r w:rsidRPr="00C94330">
        <w:rPr>
          <w:rFonts w:cs="Arial"/>
          <w:snapToGrid w:val="0"/>
          <w:sz w:val="15"/>
          <w:szCs w:val="15"/>
          <w:lang w:val="en-US"/>
        </w:rPr>
        <w:t xml:space="preserve"> Stock Exchange</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3.7.</w:t>
      </w:r>
      <w:r>
        <w:rPr>
          <w:rFonts w:cs="Arial"/>
          <w:snapToGrid w:val="0"/>
          <w:sz w:val="15"/>
          <w:szCs w:val="15"/>
          <w:lang w:val="en-US"/>
        </w:rPr>
        <w:tab/>
      </w:r>
      <w:proofErr w:type="spellStart"/>
      <w:r>
        <w:rPr>
          <w:rFonts w:cs="Arial"/>
          <w:snapToGrid w:val="0"/>
          <w:sz w:val="15"/>
          <w:szCs w:val="15"/>
          <w:lang w:val="en-US"/>
        </w:rPr>
        <w:t>Indien</w:t>
      </w:r>
      <w:proofErr w:type="spellEnd"/>
      <w:r>
        <w:rPr>
          <w:rFonts w:cs="Arial"/>
          <w:snapToGrid w:val="0"/>
          <w:sz w:val="15"/>
          <w:szCs w:val="15"/>
          <w:lang w:val="en-US"/>
        </w:rPr>
        <w:t>:</w:t>
      </w:r>
      <w:r>
        <w:rPr>
          <w:rFonts w:cs="Arial"/>
          <w:snapToGrid w:val="0"/>
          <w:sz w:val="15"/>
          <w:szCs w:val="15"/>
          <w:lang w:val="en-US"/>
        </w:rPr>
        <w:tab/>
      </w:r>
      <w:r>
        <w:rPr>
          <w:rFonts w:cs="Arial"/>
          <w:snapToGrid w:val="0"/>
          <w:sz w:val="15"/>
          <w:szCs w:val="15"/>
          <w:lang w:val="en-US"/>
        </w:rPr>
        <w:tab/>
      </w:r>
      <w:proofErr w:type="spellStart"/>
      <w:r w:rsidRPr="00C94330">
        <w:rPr>
          <w:rFonts w:cs="Arial"/>
          <w:snapToGrid w:val="0"/>
          <w:sz w:val="15"/>
          <w:szCs w:val="15"/>
          <w:lang w:val="en-US"/>
        </w:rPr>
        <w:t>Mumbay</w:t>
      </w:r>
      <w:proofErr w:type="spellEnd"/>
    </w:p>
    <w:p w:rsidR="00C94330" w:rsidRPr="00313DC1" w:rsidRDefault="00C94330" w:rsidP="00C94330">
      <w:pPr>
        <w:spacing w:line="240" w:lineRule="exact"/>
        <w:jc w:val="left"/>
        <w:rPr>
          <w:rFonts w:cs="Arial"/>
          <w:snapToGrid w:val="0"/>
          <w:sz w:val="15"/>
          <w:szCs w:val="15"/>
          <w:lang w:val="de-AT"/>
        </w:rPr>
      </w:pPr>
      <w:r w:rsidRPr="00313DC1">
        <w:rPr>
          <w:rFonts w:cs="Arial"/>
          <w:snapToGrid w:val="0"/>
          <w:sz w:val="15"/>
          <w:szCs w:val="15"/>
          <w:lang w:val="de-AT"/>
        </w:rPr>
        <w:t>3.8.</w:t>
      </w:r>
      <w:r w:rsidRPr="00313DC1">
        <w:rPr>
          <w:rFonts w:cs="Arial"/>
          <w:snapToGrid w:val="0"/>
          <w:sz w:val="15"/>
          <w:szCs w:val="15"/>
          <w:lang w:val="de-AT"/>
        </w:rPr>
        <w:tab/>
        <w:t>Indonesien:</w:t>
      </w:r>
      <w:r w:rsidRPr="00313DC1">
        <w:rPr>
          <w:rFonts w:cs="Arial"/>
          <w:snapToGrid w:val="0"/>
          <w:sz w:val="15"/>
          <w:szCs w:val="15"/>
          <w:lang w:val="de-AT"/>
        </w:rPr>
        <w:tab/>
      </w:r>
      <w:r w:rsidRPr="00313DC1">
        <w:rPr>
          <w:rFonts w:cs="Arial"/>
          <w:snapToGrid w:val="0"/>
          <w:sz w:val="15"/>
          <w:szCs w:val="15"/>
          <w:lang w:val="de-AT"/>
        </w:rPr>
        <w:tab/>
        <w:t>Jakarta</w:t>
      </w:r>
    </w:p>
    <w:p w:rsidR="00C94330" w:rsidRPr="00313DC1" w:rsidRDefault="00C94330" w:rsidP="00C94330">
      <w:pPr>
        <w:spacing w:line="240" w:lineRule="exact"/>
        <w:jc w:val="left"/>
        <w:rPr>
          <w:rFonts w:cs="Arial"/>
          <w:snapToGrid w:val="0"/>
          <w:sz w:val="15"/>
          <w:szCs w:val="15"/>
          <w:lang w:val="de-AT"/>
        </w:rPr>
      </w:pPr>
      <w:r w:rsidRPr="00313DC1">
        <w:rPr>
          <w:rFonts w:cs="Arial"/>
          <w:snapToGrid w:val="0"/>
          <w:sz w:val="15"/>
          <w:szCs w:val="15"/>
          <w:lang w:val="de-AT"/>
        </w:rPr>
        <w:t>3.9.</w:t>
      </w:r>
      <w:r w:rsidRPr="00313DC1">
        <w:rPr>
          <w:rFonts w:cs="Arial"/>
          <w:snapToGrid w:val="0"/>
          <w:sz w:val="15"/>
          <w:szCs w:val="15"/>
          <w:lang w:val="de-AT"/>
        </w:rPr>
        <w:tab/>
        <w:t>Israel:</w:t>
      </w:r>
      <w:r w:rsidRPr="00313DC1">
        <w:rPr>
          <w:rFonts w:cs="Arial"/>
          <w:snapToGrid w:val="0"/>
          <w:sz w:val="15"/>
          <w:szCs w:val="15"/>
          <w:lang w:val="de-AT"/>
        </w:rPr>
        <w:tab/>
      </w:r>
      <w:r w:rsidRPr="00313DC1">
        <w:rPr>
          <w:rFonts w:cs="Arial"/>
          <w:snapToGrid w:val="0"/>
          <w:sz w:val="15"/>
          <w:szCs w:val="15"/>
          <w:lang w:val="de-AT"/>
        </w:rPr>
        <w:tab/>
        <w:t>Tel Aviv</w:t>
      </w:r>
    </w:p>
    <w:p w:rsidR="00C94330" w:rsidRPr="00313DC1" w:rsidRDefault="00C94330" w:rsidP="00C94330">
      <w:pPr>
        <w:spacing w:line="240" w:lineRule="exact"/>
        <w:jc w:val="left"/>
        <w:rPr>
          <w:rFonts w:cs="Arial"/>
          <w:snapToGrid w:val="0"/>
          <w:sz w:val="15"/>
          <w:szCs w:val="15"/>
          <w:lang w:val="de-AT"/>
        </w:rPr>
      </w:pPr>
      <w:r w:rsidRPr="00313DC1">
        <w:rPr>
          <w:rFonts w:cs="Arial"/>
          <w:snapToGrid w:val="0"/>
          <w:sz w:val="15"/>
          <w:szCs w:val="15"/>
          <w:lang w:val="de-AT"/>
        </w:rPr>
        <w:t>3.10.</w:t>
      </w:r>
      <w:r w:rsidRPr="00313DC1">
        <w:rPr>
          <w:rFonts w:cs="Arial"/>
          <w:snapToGrid w:val="0"/>
          <w:sz w:val="15"/>
          <w:szCs w:val="15"/>
          <w:lang w:val="de-AT"/>
        </w:rPr>
        <w:tab/>
        <w:t>Japan:</w:t>
      </w:r>
      <w:r w:rsidRPr="00313DC1">
        <w:rPr>
          <w:rFonts w:cs="Arial"/>
          <w:snapToGrid w:val="0"/>
          <w:sz w:val="15"/>
          <w:szCs w:val="15"/>
          <w:lang w:val="de-AT"/>
        </w:rPr>
        <w:tab/>
      </w:r>
      <w:r w:rsidRPr="00313DC1">
        <w:rPr>
          <w:rFonts w:cs="Arial"/>
          <w:snapToGrid w:val="0"/>
          <w:sz w:val="15"/>
          <w:szCs w:val="15"/>
          <w:lang w:val="de-AT"/>
        </w:rPr>
        <w:tab/>
        <w:t>Tokyo, Osaka, Nagoya, Kyoto, Fukuoka, Niigata, Sapporo, Hiroshima</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3.11.</w:t>
      </w:r>
      <w:r w:rsidRPr="00C94330">
        <w:rPr>
          <w:rFonts w:cs="Arial"/>
          <w:snapToGrid w:val="0"/>
          <w:sz w:val="15"/>
          <w:szCs w:val="15"/>
          <w:lang w:val="en-US"/>
        </w:rPr>
        <w:tab/>
      </w:r>
      <w:proofErr w:type="spellStart"/>
      <w:r w:rsidRPr="00C94330">
        <w:rPr>
          <w:rFonts w:cs="Arial"/>
          <w:snapToGrid w:val="0"/>
          <w:sz w:val="15"/>
          <w:szCs w:val="15"/>
          <w:lang w:val="en-US"/>
        </w:rPr>
        <w:t>Kanada</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Toronto, Vancouver, Montreal</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3.12</w:t>
      </w:r>
      <w:r w:rsidRPr="00C94330">
        <w:rPr>
          <w:rFonts w:cs="Arial"/>
          <w:snapToGrid w:val="0"/>
          <w:sz w:val="15"/>
          <w:szCs w:val="15"/>
          <w:lang w:val="en-US"/>
        </w:rPr>
        <w:tab/>
      </w:r>
      <w:proofErr w:type="spellStart"/>
      <w:r w:rsidRPr="00C94330">
        <w:rPr>
          <w:rFonts w:cs="Arial"/>
          <w:snapToGrid w:val="0"/>
          <w:sz w:val="15"/>
          <w:szCs w:val="15"/>
          <w:lang w:val="en-US"/>
        </w:rPr>
        <w:t>Kolumbien</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r>
      <w:proofErr w:type="spellStart"/>
      <w:r w:rsidRPr="00C94330">
        <w:rPr>
          <w:rFonts w:cs="Arial"/>
          <w:sz w:val="15"/>
          <w:szCs w:val="15"/>
          <w:lang w:val="en-US"/>
        </w:rPr>
        <w:t>Bolsa</w:t>
      </w:r>
      <w:proofErr w:type="spellEnd"/>
      <w:r w:rsidRPr="00C94330">
        <w:rPr>
          <w:rFonts w:cs="Arial"/>
          <w:sz w:val="15"/>
          <w:szCs w:val="15"/>
          <w:lang w:val="en-US"/>
        </w:rPr>
        <w:t xml:space="preserve"> de </w:t>
      </w:r>
      <w:proofErr w:type="spellStart"/>
      <w:r w:rsidRPr="00C94330">
        <w:rPr>
          <w:rFonts w:cs="Arial"/>
          <w:sz w:val="15"/>
          <w:szCs w:val="15"/>
          <w:lang w:val="en-US"/>
        </w:rPr>
        <w:t>Valores</w:t>
      </w:r>
      <w:proofErr w:type="spellEnd"/>
      <w:r w:rsidRPr="00C94330">
        <w:rPr>
          <w:rFonts w:cs="Arial"/>
          <w:sz w:val="15"/>
          <w:szCs w:val="15"/>
          <w:lang w:val="en-US"/>
        </w:rPr>
        <w:t xml:space="preserve"> de Colombia</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3.13.</w:t>
      </w:r>
      <w:r>
        <w:rPr>
          <w:rFonts w:cs="Arial"/>
          <w:snapToGrid w:val="0"/>
          <w:sz w:val="15"/>
          <w:szCs w:val="15"/>
          <w:lang w:val="en-US"/>
        </w:rPr>
        <w:tab/>
        <w:t>Korea:</w:t>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 xml:space="preserve">Korea Exchange (Seoul, </w:t>
      </w:r>
      <w:proofErr w:type="spellStart"/>
      <w:r w:rsidRPr="00C94330">
        <w:rPr>
          <w:rFonts w:cs="Arial"/>
          <w:snapToGrid w:val="0"/>
          <w:sz w:val="15"/>
          <w:szCs w:val="15"/>
          <w:lang w:val="en-US"/>
        </w:rPr>
        <w:t>Busan</w:t>
      </w:r>
      <w:proofErr w:type="spellEnd"/>
      <w:r w:rsidRPr="00C94330">
        <w:rPr>
          <w:rFonts w:cs="Arial"/>
          <w:snapToGrid w:val="0"/>
          <w:sz w:val="15"/>
          <w:szCs w:val="15"/>
          <w:lang w:val="en-US"/>
        </w:rPr>
        <w:t>)</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3.14.</w:t>
      </w:r>
      <w:r w:rsidRPr="00C94330">
        <w:rPr>
          <w:rFonts w:cs="Arial"/>
          <w:snapToGrid w:val="0"/>
          <w:sz w:val="15"/>
          <w:szCs w:val="15"/>
          <w:lang w:val="en-US"/>
        </w:rPr>
        <w:tab/>
        <w:t>Malaysia:</w:t>
      </w:r>
      <w:r w:rsidRPr="00C94330">
        <w:rPr>
          <w:rFonts w:cs="Arial"/>
          <w:snapToGrid w:val="0"/>
          <w:sz w:val="15"/>
          <w:szCs w:val="15"/>
          <w:lang w:val="en-US"/>
        </w:rPr>
        <w:tab/>
      </w:r>
      <w:r w:rsidRPr="00C94330">
        <w:rPr>
          <w:rFonts w:cs="Arial"/>
          <w:snapToGrid w:val="0"/>
          <w:sz w:val="15"/>
          <w:szCs w:val="15"/>
          <w:lang w:val="en-US"/>
        </w:rPr>
        <w:tab/>
        <w:t xml:space="preserve">Kuala Lumpur, Bursa Malaysia </w:t>
      </w:r>
      <w:proofErr w:type="spellStart"/>
      <w:r w:rsidRPr="00C94330">
        <w:rPr>
          <w:rFonts w:cs="Arial"/>
          <w:snapToGrid w:val="0"/>
          <w:sz w:val="15"/>
          <w:szCs w:val="15"/>
          <w:lang w:val="en-US"/>
        </w:rPr>
        <w:t>Berhad</w:t>
      </w:r>
      <w:proofErr w:type="spellEnd"/>
    </w:p>
    <w:p w:rsidR="00C94330" w:rsidRPr="00C94330" w:rsidRDefault="007823B5" w:rsidP="00C94330">
      <w:pPr>
        <w:spacing w:line="240" w:lineRule="exact"/>
        <w:jc w:val="left"/>
        <w:rPr>
          <w:rFonts w:cs="Arial"/>
          <w:snapToGrid w:val="0"/>
          <w:sz w:val="15"/>
          <w:szCs w:val="15"/>
          <w:lang w:val="en-US"/>
        </w:rPr>
      </w:pPr>
      <w:r>
        <w:rPr>
          <w:rFonts w:cs="Arial"/>
          <w:snapToGrid w:val="0"/>
          <w:sz w:val="15"/>
          <w:szCs w:val="15"/>
          <w:lang w:val="en-US"/>
        </w:rPr>
        <w:t>3.15.</w:t>
      </w:r>
      <w:r>
        <w:rPr>
          <w:rFonts w:cs="Arial"/>
          <w:snapToGrid w:val="0"/>
          <w:sz w:val="15"/>
          <w:szCs w:val="15"/>
          <w:lang w:val="en-US"/>
        </w:rPr>
        <w:tab/>
      </w:r>
      <w:proofErr w:type="spellStart"/>
      <w:r>
        <w:rPr>
          <w:rFonts w:cs="Arial"/>
          <w:snapToGrid w:val="0"/>
          <w:sz w:val="15"/>
          <w:szCs w:val="15"/>
          <w:lang w:val="en-US"/>
        </w:rPr>
        <w:t>Mexiko</w:t>
      </w:r>
      <w:proofErr w:type="spellEnd"/>
      <w:r>
        <w:rPr>
          <w:rFonts w:cs="Arial"/>
          <w:snapToGrid w:val="0"/>
          <w:sz w:val="15"/>
          <w:szCs w:val="15"/>
          <w:lang w:val="en-US"/>
        </w:rPr>
        <w:t>:</w:t>
      </w:r>
      <w:r>
        <w:rPr>
          <w:rFonts w:cs="Arial"/>
          <w:snapToGrid w:val="0"/>
          <w:sz w:val="15"/>
          <w:szCs w:val="15"/>
          <w:lang w:val="en-US"/>
        </w:rPr>
        <w:tab/>
      </w:r>
      <w:r>
        <w:rPr>
          <w:rFonts w:cs="Arial"/>
          <w:snapToGrid w:val="0"/>
          <w:sz w:val="15"/>
          <w:szCs w:val="15"/>
          <w:lang w:val="en-US"/>
        </w:rPr>
        <w:tab/>
      </w:r>
      <w:proofErr w:type="spellStart"/>
      <w:r w:rsidR="00C94330" w:rsidRPr="00C94330">
        <w:rPr>
          <w:rFonts w:cs="Arial"/>
          <w:snapToGrid w:val="0"/>
          <w:sz w:val="15"/>
          <w:szCs w:val="15"/>
          <w:lang w:val="en-US"/>
        </w:rPr>
        <w:t>Mexiko</w:t>
      </w:r>
      <w:proofErr w:type="spellEnd"/>
      <w:r w:rsidR="00C94330" w:rsidRPr="00C94330">
        <w:rPr>
          <w:rFonts w:cs="Arial"/>
          <w:snapToGrid w:val="0"/>
          <w:sz w:val="15"/>
          <w:szCs w:val="15"/>
          <w:lang w:val="en-US"/>
        </w:rPr>
        <w:t xml:space="preserve"> City</w:t>
      </w:r>
    </w:p>
    <w:p w:rsidR="00C94330" w:rsidRPr="00C94330" w:rsidRDefault="00C94330" w:rsidP="00C94330">
      <w:pPr>
        <w:spacing w:line="240" w:lineRule="exact"/>
        <w:jc w:val="left"/>
        <w:rPr>
          <w:rFonts w:cs="Arial"/>
          <w:snapToGrid w:val="0"/>
          <w:sz w:val="15"/>
          <w:szCs w:val="15"/>
          <w:lang w:val="it-IT"/>
        </w:rPr>
      </w:pPr>
      <w:r w:rsidRPr="00C94330">
        <w:rPr>
          <w:rFonts w:cs="Arial"/>
          <w:snapToGrid w:val="0"/>
          <w:sz w:val="15"/>
          <w:szCs w:val="15"/>
          <w:lang w:val="en-US"/>
        </w:rPr>
        <w:t>3.16.</w:t>
      </w:r>
      <w:r w:rsidRPr="00C94330">
        <w:rPr>
          <w:rFonts w:cs="Arial"/>
          <w:snapToGrid w:val="0"/>
          <w:sz w:val="15"/>
          <w:szCs w:val="15"/>
          <w:lang w:val="en-US"/>
        </w:rPr>
        <w:tab/>
      </w:r>
      <w:proofErr w:type="spellStart"/>
      <w:r w:rsidRPr="00C94330">
        <w:rPr>
          <w:rFonts w:cs="Arial"/>
          <w:snapToGrid w:val="0"/>
          <w:sz w:val="15"/>
          <w:szCs w:val="15"/>
          <w:lang w:val="en-US"/>
        </w:rPr>
        <w:t>Neuseeland</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Wellington, Christchurch/</w:t>
      </w:r>
      <w:proofErr w:type="spellStart"/>
      <w:r w:rsidRPr="00C94330">
        <w:rPr>
          <w:rFonts w:cs="Arial"/>
          <w:snapToGrid w:val="0"/>
          <w:sz w:val="15"/>
          <w:szCs w:val="15"/>
          <w:lang w:val="en-US"/>
        </w:rPr>
        <w:t>Invercarg</w:t>
      </w:r>
      <w:r w:rsidRPr="00C94330">
        <w:rPr>
          <w:rFonts w:cs="Arial"/>
          <w:snapToGrid w:val="0"/>
          <w:sz w:val="15"/>
          <w:szCs w:val="15"/>
          <w:lang w:val="it-IT"/>
        </w:rPr>
        <w:t>ill</w:t>
      </w:r>
      <w:proofErr w:type="spellEnd"/>
      <w:r w:rsidRPr="00C94330">
        <w:rPr>
          <w:rFonts w:cs="Arial"/>
          <w:snapToGrid w:val="0"/>
          <w:sz w:val="15"/>
          <w:szCs w:val="15"/>
          <w:lang w:val="it-IT"/>
        </w:rPr>
        <w:t>, Auckland</w:t>
      </w:r>
    </w:p>
    <w:p w:rsidR="00C94330" w:rsidRPr="00C94330" w:rsidRDefault="00C94330" w:rsidP="00C94330">
      <w:pPr>
        <w:spacing w:line="240" w:lineRule="exact"/>
        <w:jc w:val="left"/>
        <w:rPr>
          <w:rFonts w:cs="Arial"/>
          <w:snapToGrid w:val="0"/>
          <w:sz w:val="15"/>
          <w:szCs w:val="15"/>
          <w:lang w:val="it-IT"/>
        </w:rPr>
      </w:pPr>
      <w:r>
        <w:rPr>
          <w:rFonts w:cs="Arial"/>
          <w:snapToGrid w:val="0"/>
          <w:sz w:val="15"/>
          <w:szCs w:val="15"/>
          <w:lang w:val="it-IT"/>
        </w:rPr>
        <w:t>3.17</w:t>
      </w:r>
      <w:r>
        <w:rPr>
          <w:rFonts w:cs="Arial"/>
          <w:snapToGrid w:val="0"/>
          <w:sz w:val="15"/>
          <w:szCs w:val="15"/>
          <w:lang w:val="it-IT"/>
        </w:rPr>
        <w:tab/>
        <w:t>Peru</w:t>
      </w:r>
      <w:r w:rsidR="00644773">
        <w:rPr>
          <w:rFonts w:cs="Arial"/>
          <w:snapToGrid w:val="0"/>
          <w:sz w:val="15"/>
          <w:szCs w:val="15"/>
          <w:lang w:val="it-IT"/>
        </w:rPr>
        <w:t>:</w:t>
      </w:r>
      <w:r>
        <w:rPr>
          <w:rFonts w:cs="Arial"/>
          <w:snapToGrid w:val="0"/>
          <w:sz w:val="15"/>
          <w:szCs w:val="15"/>
          <w:lang w:val="it-IT"/>
        </w:rPr>
        <w:tab/>
      </w:r>
      <w:r w:rsidRPr="00C94330">
        <w:rPr>
          <w:rFonts w:cs="Arial"/>
          <w:snapToGrid w:val="0"/>
          <w:sz w:val="15"/>
          <w:szCs w:val="15"/>
          <w:lang w:val="it-IT"/>
        </w:rPr>
        <w:tab/>
        <w:t xml:space="preserve">Bolsa de </w:t>
      </w:r>
      <w:proofErr w:type="spellStart"/>
      <w:r w:rsidRPr="00C94330">
        <w:rPr>
          <w:rFonts w:cs="Arial"/>
          <w:snapToGrid w:val="0"/>
          <w:sz w:val="15"/>
          <w:szCs w:val="15"/>
          <w:lang w:val="it-IT"/>
        </w:rPr>
        <w:t>Valores</w:t>
      </w:r>
      <w:proofErr w:type="spellEnd"/>
      <w:r w:rsidRPr="00C94330">
        <w:rPr>
          <w:rFonts w:cs="Arial"/>
          <w:snapToGrid w:val="0"/>
          <w:sz w:val="15"/>
          <w:szCs w:val="15"/>
          <w:lang w:val="it-IT"/>
        </w:rPr>
        <w:t xml:space="preserve"> de Lima</w:t>
      </w:r>
    </w:p>
    <w:p w:rsidR="00C94330" w:rsidRPr="00C94330" w:rsidRDefault="00C94330" w:rsidP="00C94330">
      <w:pPr>
        <w:spacing w:line="240" w:lineRule="exact"/>
        <w:jc w:val="left"/>
        <w:rPr>
          <w:rFonts w:cs="Arial"/>
          <w:snapToGrid w:val="0"/>
          <w:sz w:val="15"/>
          <w:szCs w:val="15"/>
          <w:lang w:val="it-IT"/>
        </w:rPr>
      </w:pPr>
      <w:r w:rsidRPr="00C94330">
        <w:rPr>
          <w:rFonts w:cs="Arial"/>
          <w:snapToGrid w:val="0"/>
          <w:sz w:val="15"/>
          <w:szCs w:val="15"/>
          <w:lang w:val="it-IT"/>
        </w:rPr>
        <w:t>3.18.</w:t>
      </w:r>
      <w:r w:rsidRPr="00C94330">
        <w:rPr>
          <w:rFonts w:cs="Arial"/>
          <w:snapToGrid w:val="0"/>
          <w:sz w:val="15"/>
          <w:szCs w:val="15"/>
          <w:lang w:val="it-IT"/>
        </w:rPr>
        <w:tab/>
      </w:r>
      <w:proofErr w:type="spellStart"/>
      <w:r w:rsidRPr="00C94330">
        <w:rPr>
          <w:rFonts w:cs="Arial"/>
          <w:snapToGrid w:val="0"/>
          <w:sz w:val="15"/>
          <w:szCs w:val="15"/>
          <w:lang w:val="it-IT"/>
        </w:rPr>
        <w:t>Philippinen</w:t>
      </w:r>
      <w:proofErr w:type="spellEnd"/>
      <w:r w:rsidRPr="00C94330">
        <w:rPr>
          <w:rFonts w:cs="Arial"/>
          <w:snapToGrid w:val="0"/>
          <w:sz w:val="15"/>
          <w:szCs w:val="15"/>
          <w:lang w:val="it-IT"/>
        </w:rPr>
        <w:t>:</w:t>
      </w:r>
      <w:r w:rsidRPr="00C94330">
        <w:rPr>
          <w:rFonts w:cs="Arial"/>
          <w:snapToGrid w:val="0"/>
          <w:sz w:val="15"/>
          <w:szCs w:val="15"/>
          <w:lang w:val="it-IT"/>
        </w:rPr>
        <w:tab/>
      </w:r>
      <w:r w:rsidRPr="00C94330">
        <w:rPr>
          <w:rFonts w:cs="Arial"/>
          <w:snapToGrid w:val="0"/>
          <w:sz w:val="15"/>
          <w:szCs w:val="15"/>
          <w:lang w:val="it-IT"/>
        </w:rPr>
        <w:tab/>
        <w:t>Manila</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it-IT"/>
        </w:rPr>
        <w:lastRenderedPageBreak/>
        <w:t>3.19.</w:t>
      </w:r>
      <w:r w:rsidRPr="00C94330">
        <w:rPr>
          <w:rFonts w:cs="Arial"/>
          <w:snapToGrid w:val="0"/>
          <w:sz w:val="15"/>
          <w:szCs w:val="15"/>
          <w:lang w:val="it-IT"/>
        </w:rPr>
        <w:tab/>
      </w:r>
      <w:proofErr w:type="spellStart"/>
      <w:r w:rsidRPr="00C94330">
        <w:rPr>
          <w:rFonts w:cs="Arial"/>
          <w:snapToGrid w:val="0"/>
          <w:sz w:val="15"/>
          <w:szCs w:val="15"/>
          <w:lang w:val="it-IT"/>
        </w:rPr>
        <w:t>Singapur</w:t>
      </w:r>
      <w:proofErr w:type="spellEnd"/>
      <w:r w:rsidRPr="00C94330">
        <w:rPr>
          <w:rFonts w:cs="Arial"/>
          <w:snapToGrid w:val="0"/>
          <w:sz w:val="15"/>
          <w:szCs w:val="15"/>
          <w:lang w:val="it-IT"/>
        </w:rPr>
        <w:t>:</w:t>
      </w:r>
      <w:r w:rsidRPr="00C94330">
        <w:rPr>
          <w:rFonts w:cs="Arial"/>
          <w:snapToGrid w:val="0"/>
          <w:sz w:val="15"/>
          <w:szCs w:val="15"/>
          <w:lang w:val="it-IT"/>
        </w:rPr>
        <w:tab/>
      </w:r>
      <w:r w:rsidRPr="00C94330">
        <w:rPr>
          <w:rFonts w:cs="Arial"/>
          <w:snapToGrid w:val="0"/>
          <w:sz w:val="15"/>
          <w:szCs w:val="15"/>
          <w:lang w:val="it-IT"/>
        </w:rPr>
        <w:tab/>
      </w:r>
      <w:proofErr w:type="spellStart"/>
      <w:r w:rsidRPr="00C94330">
        <w:rPr>
          <w:rFonts w:cs="Arial"/>
          <w:snapToGrid w:val="0"/>
          <w:sz w:val="15"/>
          <w:szCs w:val="15"/>
          <w:lang w:val="it-IT"/>
        </w:rPr>
        <w:t>Singapur</w:t>
      </w:r>
      <w:proofErr w:type="spellEnd"/>
      <w:r w:rsidRPr="00C94330">
        <w:rPr>
          <w:rFonts w:cs="Arial"/>
          <w:snapToGrid w:val="0"/>
          <w:sz w:val="15"/>
          <w:szCs w:val="15"/>
          <w:lang w:val="it-IT"/>
        </w:rPr>
        <w:t xml:space="preserve"> Stock </w:t>
      </w:r>
      <w:proofErr w:type="spellStart"/>
      <w:r w:rsidRPr="00C94330">
        <w:rPr>
          <w:rFonts w:cs="Arial"/>
          <w:snapToGrid w:val="0"/>
          <w:sz w:val="15"/>
          <w:szCs w:val="15"/>
          <w:lang w:val="it-IT"/>
        </w:rPr>
        <w:t>Exch</w:t>
      </w:r>
      <w:r w:rsidRPr="00C94330">
        <w:rPr>
          <w:rFonts w:cs="Arial"/>
          <w:snapToGrid w:val="0"/>
          <w:sz w:val="15"/>
          <w:szCs w:val="15"/>
          <w:lang w:val="en-US"/>
        </w:rPr>
        <w:t>ange</w:t>
      </w:r>
      <w:proofErr w:type="spellEnd"/>
    </w:p>
    <w:p w:rsidR="00C94330" w:rsidRPr="00C94330" w:rsidRDefault="00C94330" w:rsidP="00C94330">
      <w:pPr>
        <w:spacing w:line="240" w:lineRule="exact"/>
        <w:jc w:val="left"/>
        <w:rPr>
          <w:rFonts w:cs="Arial"/>
          <w:sz w:val="15"/>
          <w:szCs w:val="15"/>
          <w:lang w:val="en-US"/>
        </w:rPr>
      </w:pPr>
      <w:r w:rsidRPr="00C94330">
        <w:rPr>
          <w:rFonts w:cs="Arial"/>
          <w:snapToGrid w:val="0"/>
          <w:sz w:val="15"/>
          <w:szCs w:val="15"/>
          <w:lang w:val="en-US"/>
        </w:rPr>
        <w:t>3.20.</w:t>
      </w:r>
      <w:r w:rsidRPr="00C94330">
        <w:rPr>
          <w:rFonts w:cs="Arial"/>
          <w:snapToGrid w:val="0"/>
          <w:sz w:val="15"/>
          <w:szCs w:val="15"/>
          <w:lang w:val="en-US"/>
        </w:rPr>
        <w:tab/>
      </w:r>
      <w:proofErr w:type="spellStart"/>
      <w:r w:rsidRPr="00C94330">
        <w:rPr>
          <w:rFonts w:cs="Arial"/>
          <w:snapToGrid w:val="0"/>
          <w:sz w:val="15"/>
          <w:szCs w:val="15"/>
          <w:lang w:val="en-US"/>
        </w:rPr>
        <w:t>Südafrika</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Johannesburg</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3.21.</w:t>
      </w:r>
      <w:r>
        <w:rPr>
          <w:rFonts w:cs="Arial"/>
          <w:snapToGrid w:val="0"/>
          <w:sz w:val="15"/>
          <w:szCs w:val="15"/>
          <w:lang w:val="en-US"/>
        </w:rPr>
        <w:tab/>
        <w:t>Taiwan:</w:t>
      </w:r>
      <w:r>
        <w:rPr>
          <w:rFonts w:cs="Arial"/>
          <w:snapToGrid w:val="0"/>
          <w:sz w:val="15"/>
          <w:szCs w:val="15"/>
          <w:lang w:val="en-US"/>
        </w:rPr>
        <w:tab/>
      </w:r>
      <w:r w:rsidRPr="00C94330">
        <w:rPr>
          <w:rFonts w:cs="Arial"/>
          <w:snapToGrid w:val="0"/>
          <w:sz w:val="15"/>
          <w:szCs w:val="15"/>
          <w:lang w:val="en-US"/>
        </w:rPr>
        <w:tab/>
        <w:t>Taipei</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3.22.</w:t>
      </w:r>
      <w:r w:rsidRPr="00C94330">
        <w:rPr>
          <w:rFonts w:cs="Arial"/>
          <w:snapToGrid w:val="0"/>
          <w:sz w:val="15"/>
          <w:szCs w:val="15"/>
          <w:lang w:val="en-US"/>
        </w:rPr>
        <w:tab/>
        <w:t>Thailand:</w:t>
      </w:r>
      <w:r w:rsidRPr="00C94330">
        <w:rPr>
          <w:rFonts w:cs="Arial"/>
          <w:snapToGrid w:val="0"/>
          <w:sz w:val="15"/>
          <w:szCs w:val="15"/>
          <w:lang w:val="en-US"/>
        </w:rPr>
        <w:tab/>
      </w:r>
      <w:r w:rsidRPr="00C94330">
        <w:rPr>
          <w:rFonts w:cs="Arial"/>
          <w:snapToGrid w:val="0"/>
          <w:sz w:val="15"/>
          <w:szCs w:val="15"/>
          <w:lang w:val="en-US"/>
        </w:rPr>
        <w:tab/>
        <w:t>Bangkok</w:t>
      </w:r>
    </w:p>
    <w:p w:rsidR="00C94330" w:rsidRPr="00C94330" w:rsidRDefault="00C94330" w:rsidP="007823B5">
      <w:pPr>
        <w:pStyle w:val="Kopfzeile"/>
        <w:tabs>
          <w:tab w:val="clear" w:pos="4536"/>
          <w:tab w:val="clear" w:pos="9072"/>
        </w:tabs>
        <w:spacing w:line="240" w:lineRule="exact"/>
        <w:jc w:val="left"/>
        <w:rPr>
          <w:rFonts w:cs="Arial"/>
          <w:snapToGrid w:val="0"/>
          <w:sz w:val="15"/>
          <w:szCs w:val="15"/>
          <w:lang w:val="en-US"/>
        </w:rPr>
      </w:pPr>
      <w:r w:rsidRPr="00C94330">
        <w:rPr>
          <w:rFonts w:cs="Arial"/>
          <w:snapToGrid w:val="0"/>
          <w:sz w:val="15"/>
          <w:szCs w:val="15"/>
          <w:lang w:val="en-US"/>
        </w:rPr>
        <w:t>3.23.</w:t>
      </w:r>
      <w:r w:rsidRPr="00C94330">
        <w:rPr>
          <w:rFonts w:cs="Arial"/>
          <w:snapToGrid w:val="0"/>
          <w:sz w:val="15"/>
          <w:szCs w:val="15"/>
          <w:lang w:val="en-US"/>
        </w:rPr>
        <w:tab/>
        <w:t>USA:</w:t>
      </w:r>
      <w:r w:rsidRPr="00C94330">
        <w:rPr>
          <w:rFonts w:cs="Arial"/>
          <w:snapToGrid w:val="0"/>
          <w:sz w:val="15"/>
          <w:szCs w:val="15"/>
          <w:lang w:val="en-US"/>
        </w:rPr>
        <w:tab/>
      </w:r>
      <w:r w:rsidRPr="00C94330">
        <w:rPr>
          <w:rFonts w:cs="Arial"/>
          <w:snapToGrid w:val="0"/>
          <w:sz w:val="15"/>
          <w:szCs w:val="15"/>
          <w:lang w:val="en-US"/>
        </w:rPr>
        <w:tab/>
        <w:t xml:space="preserve">New York, American Stock Exchange (AMEX), New York Stock Exchange (NYSE), Los </w:t>
      </w:r>
      <w:r>
        <w:rPr>
          <w:rFonts w:cs="Arial"/>
          <w:snapToGrid w:val="0"/>
          <w:sz w:val="15"/>
          <w:szCs w:val="15"/>
          <w:lang w:val="en-US"/>
        </w:rPr>
        <w:tab/>
      </w:r>
      <w:r>
        <w:rPr>
          <w:rFonts w:cs="Arial"/>
          <w:snapToGrid w:val="0"/>
          <w:sz w:val="15"/>
          <w:szCs w:val="15"/>
          <w:lang w:val="en-US"/>
        </w:rPr>
        <w:tab/>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 xml:space="preserve">Angeles/Pacific Stock Exchange, San Francisco/Pacific Stock Exchange, Philadelphia, Chicago, </w:t>
      </w:r>
      <w:r>
        <w:rPr>
          <w:rFonts w:cs="Arial"/>
          <w:snapToGrid w:val="0"/>
          <w:sz w:val="15"/>
          <w:szCs w:val="15"/>
          <w:lang w:val="en-US"/>
        </w:rPr>
        <w:tab/>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Boston, Cincinnati</w:t>
      </w:r>
    </w:p>
    <w:p w:rsidR="00C94330" w:rsidRPr="00C94330" w:rsidRDefault="00C94330" w:rsidP="00C94330">
      <w:pPr>
        <w:spacing w:line="240" w:lineRule="exact"/>
        <w:jc w:val="left"/>
        <w:rPr>
          <w:rFonts w:cs="Arial"/>
          <w:snapToGrid w:val="0"/>
          <w:sz w:val="15"/>
          <w:szCs w:val="15"/>
        </w:rPr>
      </w:pPr>
      <w:r w:rsidRPr="00C94330">
        <w:rPr>
          <w:rFonts w:cs="Arial"/>
          <w:snapToGrid w:val="0"/>
          <w:sz w:val="15"/>
          <w:szCs w:val="15"/>
        </w:rPr>
        <w:t>3.24.</w:t>
      </w:r>
      <w:r w:rsidRPr="00C94330">
        <w:rPr>
          <w:rFonts w:cs="Arial"/>
          <w:snapToGrid w:val="0"/>
          <w:sz w:val="15"/>
          <w:szCs w:val="15"/>
        </w:rPr>
        <w:tab/>
        <w:t>Venezuela:</w:t>
      </w:r>
      <w:r w:rsidRPr="00C94330">
        <w:rPr>
          <w:rFonts w:cs="Arial"/>
          <w:snapToGrid w:val="0"/>
          <w:sz w:val="15"/>
          <w:szCs w:val="15"/>
        </w:rPr>
        <w:tab/>
      </w:r>
      <w:r w:rsidRPr="00C94330">
        <w:rPr>
          <w:rFonts w:cs="Arial"/>
          <w:snapToGrid w:val="0"/>
          <w:sz w:val="15"/>
          <w:szCs w:val="15"/>
        </w:rPr>
        <w:tab/>
        <w:t>Caracas</w:t>
      </w:r>
    </w:p>
    <w:p w:rsidR="00C94330" w:rsidRPr="00C94330" w:rsidRDefault="00C94330" w:rsidP="00C94330">
      <w:pPr>
        <w:spacing w:line="240" w:lineRule="exact"/>
        <w:jc w:val="left"/>
        <w:rPr>
          <w:rFonts w:cs="Arial"/>
          <w:snapToGrid w:val="0"/>
          <w:sz w:val="15"/>
          <w:szCs w:val="15"/>
        </w:rPr>
      </w:pPr>
      <w:r w:rsidRPr="00C94330">
        <w:rPr>
          <w:rFonts w:cs="Arial"/>
          <w:snapToGrid w:val="0"/>
          <w:sz w:val="15"/>
          <w:szCs w:val="15"/>
        </w:rPr>
        <w:t>3.25.</w:t>
      </w:r>
      <w:r w:rsidRPr="00C94330">
        <w:rPr>
          <w:rFonts w:cs="Arial"/>
          <w:snapToGrid w:val="0"/>
          <w:sz w:val="15"/>
          <w:szCs w:val="15"/>
        </w:rPr>
        <w:tab/>
        <w:t>Vereinigte Arabische</w:t>
      </w:r>
    </w:p>
    <w:p w:rsidR="00C94330" w:rsidRPr="00DE206C" w:rsidRDefault="00C94330" w:rsidP="00C94330">
      <w:pPr>
        <w:spacing w:line="240" w:lineRule="exact"/>
        <w:jc w:val="left"/>
        <w:rPr>
          <w:rFonts w:cs="Arial"/>
          <w:snapToGrid w:val="0"/>
          <w:sz w:val="15"/>
          <w:szCs w:val="15"/>
          <w:lang w:val="de-AT"/>
        </w:rPr>
      </w:pPr>
      <w:r w:rsidRPr="00C94330">
        <w:rPr>
          <w:rFonts w:cs="Arial"/>
          <w:snapToGrid w:val="0"/>
          <w:sz w:val="15"/>
          <w:szCs w:val="15"/>
        </w:rPr>
        <w:tab/>
      </w:r>
      <w:r w:rsidRPr="00DE206C">
        <w:rPr>
          <w:rFonts w:cs="Arial"/>
          <w:snapToGrid w:val="0"/>
          <w:sz w:val="15"/>
          <w:szCs w:val="15"/>
          <w:lang w:val="de-AT"/>
        </w:rPr>
        <w:t>Emirate:</w:t>
      </w:r>
      <w:r w:rsidRPr="00DE206C">
        <w:rPr>
          <w:rFonts w:cs="Arial"/>
          <w:snapToGrid w:val="0"/>
          <w:sz w:val="15"/>
          <w:szCs w:val="15"/>
          <w:lang w:val="de-AT"/>
        </w:rPr>
        <w:tab/>
      </w:r>
      <w:r w:rsidRPr="00DE206C">
        <w:rPr>
          <w:rFonts w:cs="Arial"/>
          <w:snapToGrid w:val="0"/>
          <w:sz w:val="15"/>
          <w:szCs w:val="15"/>
          <w:lang w:val="de-AT"/>
        </w:rPr>
        <w:tab/>
        <w:t>Abu Dhabi Securities Exchange (ADX)</w:t>
      </w:r>
    </w:p>
    <w:p w:rsidR="00C94330" w:rsidRPr="00DE206C" w:rsidRDefault="00C94330" w:rsidP="00C94330">
      <w:pPr>
        <w:spacing w:line="240" w:lineRule="exact"/>
        <w:jc w:val="left"/>
        <w:rPr>
          <w:rFonts w:cs="Arial"/>
          <w:snapToGrid w:val="0"/>
          <w:sz w:val="15"/>
          <w:szCs w:val="15"/>
          <w:lang w:val="de-AT"/>
        </w:rPr>
      </w:pPr>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bookmarkStart w:id="7" w:name="_Toc48534696"/>
      <w:r w:rsidRPr="00C94330">
        <w:rPr>
          <w:rFonts w:asciiTheme="majorHAnsi" w:hAnsiTheme="majorHAnsi" w:cs="Arial"/>
          <w:snapToGrid w:val="0"/>
          <w:sz w:val="15"/>
          <w:szCs w:val="15"/>
        </w:rPr>
        <w:t>4. Organisierte Märkte in Ländern außerhalb der Mitgliedstaaten der Europäischen Gemeinschaft</w:t>
      </w:r>
      <w:bookmarkEnd w:id="7"/>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4.1.</w:t>
      </w:r>
      <w:r>
        <w:rPr>
          <w:rFonts w:cs="Arial"/>
          <w:snapToGrid w:val="0"/>
          <w:sz w:val="15"/>
          <w:szCs w:val="15"/>
          <w:lang w:val="en-US"/>
        </w:rPr>
        <w:tab/>
        <w:t>Japan:</w:t>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Over the Counter Market</w:t>
      </w:r>
    </w:p>
    <w:p w:rsidR="00C94330" w:rsidRPr="00C94330" w:rsidRDefault="00C94330" w:rsidP="00C94330">
      <w:pPr>
        <w:pStyle w:val="Kopfzeile"/>
        <w:tabs>
          <w:tab w:val="clear" w:pos="4536"/>
          <w:tab w:val="clear" w:pos="9072"/>
        </w:tabs>
        <w:spacing w:line="240" w:lineRule="exact"/>
        <w:jc w:val="left"/>
        <w:rPr>
          <w:rFonts w:cs="Arial"/>
          <w:snapToGrid w:val="0"/>
          <w:sz w:val="15"/>
          <w:szCs w:val="15"/>
          <w:lang w:val="en-US"/>
        </w:rPr>
      </w:pPr>
      <w:r w:rsidRPr="00C94330">
        <w:rPr>
          <w:rFonts w:cs="Arial"/>
          <w:snapToGrid w:val="0"/>
          <w:sz w:val="15"/>
          <w:szCs w:val="15"/>
          <w:lang w:val="en-US"/>
        </w:rPr>
        <w:t>4.2.</w:t>
      </w:r>
      <w:r w:rsidRPr="00C94330">
        <w:rPr>
          <w:rFonts w:cs="Arial"/>
          <w:snapToGrid w:val="0"/>
          <w:sz w:val="15"/>
          <w:szCs w:val="15"/>
          <w:lang w:val="en-US"/>
        </w:rPr>
        <w:tab/>
      </w:r>
      <w:proofErr w:type="spellStart"/>
      <w:r w:rsidRPr="00C94330">
        <w:rPr>
          <w:rFonts w:cs="Arial"/>
          <w:snapToGrid w:val="0"/>
          <w:sz w:val="15"/>
          <w:szCs w:val="15"/>
          <w:lang w:val="en-US"/>
        </w:rPr>
        <w:t>Kanada</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Over the Counter Market</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4.3.</w:t>
      </w:r>
      <w:r>
        <w:rPr>
          <w:rFonts w:cs="Arial"/>
          <w:snapToGrid w:val="0"/>
          <w:sz w:val="15"/>
          <w:szCs w:val="15"/>
          <w:lang w:val="en-US"/>
        </w:rPr>
        <w:tab/>
        <w:t>Korea:</w:t>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Over the Counter Market</w:t>
      </w:r>
    </w:p>
    <w:p w:rsidR="00C94330" w:rsidRPr="00C94330" w:rsidRDefault="00C94330" w:rsidP="00C94330">
      <w:pPr>
        <w:spacing w:line="240" w:lineRule="exact"/>
        <w:jc w:val="left"/>
        <w:rPr>
          <w:rFonts w:cs="Arial"/>
          <w:snapToGrid w:val="0"/>
          <w:sz w:val="15"/>
          <w:szCs w:val="15"/>
          <w:lang w:val="en-GB"/>
        </w:rPr>
      </w:pPr>
      <w:r w:rsidRPr="00C94330">
        <w:rPr>
          <w:rFonts w:cs="Arial"/>
          <w:snapToGrid w:val="0"/>
          <w:sz w:val="15"/>
          <w:szCs w:val="15"/>
          <w:lang w:val="en-GB"/>
        </w:rPr>
        <w:t>4.4.</w:t>
      </w:r>
      <w:r w:rsidRPr="00C94330">
        <w:rPr>
          <w:rFonts w:cs="Arial"/>
          <w:snapToGrid w:val="0"/>
          <w:sz w:val="15"/>
          <w:szCs w:val="15"/>
          <w:lang w:val="en-GB"/>
        </w:rPr>
        <w:tab/>
      </w:r>
      <w:proofErr w:type="spellStart"/>
      <w:r w:rsidRPr="00C94330">
        <w:rPr>
          <w:rFonts w:cs="Arial"/>
          <w:snapToGrid w:val="0"/>
          <w:sz w:val="15"/>
          <w:szCs w:val="15"/>
          <w:lang w:val="en-GB"/>
        </w:rPr>
        <w:t>Schweiz</w:t>
      </w:r>
      <w:proofErr w:type="spellEnd"/>
      <w:r w:rsidRPr="00C94330">
        <w:rPr>
          <w:rFonts w:cs="Arial"/>
          <w:snapToGrid w:val="0"/>
          <w:sz w:val="15"/>
          <w:szCs w:val="15"/>
          <w:lang w:val="en-GB"/>
        </w:rPr>
        <w:t>:</w:t>
      </w:r>
      <w:r w:rsidRPr="00C94330">
        <w:rPr>
          <w:rFonts w:cs="Arial"/>
          <w:snapToGrid w:val="0"/>
          <w:sz w:val="15"/>
          <w:szCs w:val="15"/>
          <w:lang w:val="en-GB"/>
        </w:rPr>
        <w:tab/>
      </w:r>
      <w:r w:rsidRPr="00C94330">
        <w:rPr>
          <w:rFonts w:cs="Arial"/>
          <w:snapToGrid w:val="0"/>
          <w:sz w:val="15"/>
          <w:szCs w:val="15"/>
          <w:lang w:val="en-GB"/>
        </w:rPr>
        <w:tab/>
        <w:t xml:space="preserve">SWX-Swiss Exchange, BX Berne </w:t>
      </w:r>
      <w:proofErr w:type="spellStart"/>
      <w:r w:rsidRPr="00C94330">
        <w:rPr>
          <w:rFonts w:cs="Arial"/>
          <w:snapToGrid w:val="0"/>
          <w:sz w:val="15"/>
          <w:szCs w:val="15"/>
          <w:lang w:val="en-GB"/>
        </w:rPr>
        <w:t>eXchange</w:t>
      </w:r>
      <w:proofErr w:type="spellEnd"/>
      <w:r w:rsidRPr="00C94330">
        <w:rPr>
          <w:rFonts w:cs="Arial"/>
          <w:snapToGrid w:val="0"/>
          <w:sz w:val="15"/>
          <w:szCs w:val="15"/>
          <w:lang w:val="en-GB"/>
        </w:rPr>
        <w:t xml:space="preserve">; Over the Counter Market </w:t>
      </w:r>
    </w:p>
    <w:p w:rsidR="00C94330" w:rsidRPr="00C94330" w:rsidRDefault="00C94330" w:rsidP="00C94330">
      <w:pPr>
        <w:pStyle w:val="Textkrper-Einzug2"/>
        <w:spacing w:after="0" w:line="240" w:lineRule="exact"/>
        <w:jc w:val="left"/>
        <w:rPr>
          <w:rFonts w:cs="Arial"/>
          <w:sz w:val="15"/>
          <w:szCs w:val="15"/>
        </w:rPr>
      </w:pPr>
      <w:r w:rsidRPr="00313DC1">
        <w:rPr>
          <w:rFonts w:cs="Arial"/>
          <w:sz w:val="15"/>
          <w:szCs w:val="15"/>
          <w:lang w:val="en-US"/>
        </w:rPr>
        <w:tab/>
      </w:r>
      <w:r w:rsidRPr="00313DC1">
        <w:rPr>
          <w:rFonts w:cs="Arial"/>
          <w:sz w:val="15"/>
          <w:szCs w:val="15"/>
          <w:lang w:val="en-US"/>
        </w:rPr>
        <w:tab/>
      </w:r>
      <w:r w:rsidRPr="00313DC1">
        <w:rPr>
          <w:rFonts w:cs="Arial"/>
          <w:sz w:val="15"/>
          <w:szCs w:val="15"/>
          <w:lang w:val="en-US"/>
        </w:rPr>
        <w:tab/>
      </w:r>
      <w:r w:rsidRPr="00313DC1">
        <w:rPr>
          <w:rFonts w:cs="Arial"/>
          <w:sz w:val="15"/>
          <w:szCs w:val="15"/>
          <w:lang w:val="en-US"/>
        </w:rPr>
        <w:tab/>
      </w:r>
      <w:r w:rsidRPr="00313DC1">
        <w:rPr>
          <w:rFonts w:cs="Arial"/>
          <w:sz w:val="15"/>
          <w:szCs w:val="15"/>
          <w:lang w:val="en-US"/>
        </w:rPr>
        <w:tab/>
      </w:r>
      <w:r w:rsidRPr="00C94330">
        <w:rPr>
          <w:rFonts w:cs="Arial"/>
          <w:sz w:val="15"/>
          <w:szCs w:val="15"/>
        </w:rPr>
        <w:t xml:space="preserve">der Mitglieder der International Capital Market </w:t>
      </w:r>
      <w:proofErr w:type="spellStart"/>
      <w:r w:rsidRPr="00C94330">
        <w:rPr>
          <w:rFonts w:cs="Arial"/>
          <w:sz w:val="15"/>
          <w:szCs w:val="15"/>
        </w:rPr>
        <w:t>Association</w:t>
      </w:r>
      <w:proofErr w:type="spellEnd"/>
      <w:r w:rsidRPr="00C94330">
        <w:rPr>
          <w:rFonts w:cs="Arial"/>
          <w:sz w:val="15"/>
          <w:szCs w:val="15"/>
        </w:rPr>
        <w:t xml:space="preserve"> (ICMA), Zürich</w:t>
      </w:r>
    </w:p>
    <w:p w:rsidR="00C94330" w:rsidRPr="00313DC1" w:rsidRDefault="00C94330" w:rsidP="00C94330">
      <w:pPr>
        <w:spacing w:line="240" w:lineRule="exact"/>
        <w:jc w:val="left"/>
        <w:rPr>
          <w:rFonts w:cs="Arial"/>
          <w:snapToGrid w:val="0"/>
          <w:sz w:val="15"/>
          <w:szCs w:val="15"/>
          <w:lang w:val="en-US"/>
        </w:rPr>
      </w:pPr>
      <w:r w:rsidRPr="00313DC1">
        <w:rPr>
          <w:rFonts w:cs="Arial"/>
          <w:snapToGrid w:val="0"/>
          <w:sz w:val="15"/>
          <w:szCs w:val="15"/>
          <w:lang w:val="en-US"/>
        </w:rPr>
        <w:t>4.5.</w:t>
      </w:r>
      <w:r w:rsidRPr="00313DC1">
        <w:rPr>
          <w:rFonts w:cs="Arial"/>
          <w:snapToGrid w:val="0"/>
          <w:sz w:val="15"/>
          <w:szCs w:val="15"/>
          <w:lang w:val="en-US"/>
        </w:rPr>
        <w:tab/>
        <w:t>USA</w:t>
      </w:r>
      <w:r w:rsidR="006D0E66">
        <w:rPr>
          <w:rFonts w:cs="Arial"/>
          <w:snapToGrid w:val="0"/>
          <w:sz w:val="15"/>
          <w:szCs w:val="15"/>
          <w:lang w:val="en-US"/>
        </w:rPr>
        <w:t>:</w:t>
      </w:r>
      <w:r w:rsidRPr="00313DC1">
        <w:rPr>
          <w:rFonts w:cs="Arial"/>
          <w:snapToGrid w:val="0"/>
          <w:sz w:val="15"/>
          <w:szCs w:val="15"/>
          <w:lang w:val="en-US"/>
        </w:rPr>
        <w:t xml:space="preserve"> </w:t>
      </w:r>
      <w:r w:rsidRPr="00313DC1">
        <w:rPr>
          <w:rFonts w:cs="Arial"/>
          <w:snapToGrid w:val="0"/>
          <w:sz w:val="15"/>
          <w:szCs w:val="15"/>
          <w:lang w:val="en-US"/>
        </w:rPr>
        <w:tab/>
      </w:r>
      <w:r w:rsidRPr="00313DC1">
        <w:rPr>
          <w:rFonts w:cs="Arial"/>
          <w:snapToGrid w:val="0"/>
          <w:sz w:val="15"/>
          <w:szCs w:val="15"/>
          <w:lang w:val="en-US"/>
        </w:rPr>
        <w:tab/>
        <w:t xml:space="preserve">Over the Counter Market </w:t>
      </w:r>
      <w:proofErr w:type="spellStart"/>
      <w:r w:rsidRPr="00313DC1">
        <w:rPr>
          <w:rFonts w:cs="Arial"/>
          <w:snapToGrid w:val="0"/>
          <w:sz w:val="15"/>
          <w:szCs w:val="15"/>
          <w:lang w:val="en-US"/>
        </w:rPr>
        <w:t>im</w:t>
      </w:r>
      <w:proofErr w:type="spellEnd"/>
      <w:r w:rsidRPr="00313DC1">
        <w:rPr>
          <w:rFonts w:cs="Arial"/>
          <w:snapToGrid w:val="0"/>
          <w:sz w:val="15"/>
          <w:szCs w:val="15"/>
          <w:lang w:val="en-US"/>
        </w:rPr>
        <w:t xml:space="preserve"> NASDAQ-System, Over the Counter Market </w:t>
      </w:r>
    </w:p>
    <w:p w:rsidR="00C94330" w:rsidRDefault="00C94330" w:rsidP="00C94330">
      <w:pPr>
        <w:spacing w:line="240" w:lineRule="exact"/>
        <w:ind w:left="2807"/>
        <w:jc w:val="left"/>
        <w:rPr>
          <w:rFonts w:cs="Arial"/>
          <w:sz w:val="15"/>
          <w:szCs w:val="15"/>
          <w:lang w:val="en-US"/>
        </w:rPr>
      </w:pPr>
      <w:r w:rsidRPr="00313DC1">
        <w:rPr>
          <w:rFonts w:cs="Arial"/>
          <w:snapToGrid w:val="0"/>
          <w:sz w:val="15"/>
          <w:szCs w:val="15"/>
          <w:lang w:val="en-US"/>
        </w:rPr>
        <w:tab/>
      </w:r>
      <w:r w:rsidRPr="00C94330">
        <w:rPr>
          <w:rFonts w:cs="Arial"/>
          <w:snapToGrid w:val="0"/>
          <w:sz w:val="15"/>
          <w:szCs w:val="15"/>
          <w:lang w:val="en-US"/>
        </w:rPr>
        <w:t>(</w:t>
      </w:r>
      <w:proofErr w:type="gramStart"/>
      <w:r w:rsidRPr="00C94330">
        <w:rPr>
          <w:rFonts w:cs="Arial"/>
          <w:snapToGrid w:val="0"/>
          <w:sz w:val="15"/>
          <w:szCs w:val="15"/>
          <w:lang w:val="en-US"/>
        </w:rPr>
        <w:t>markets</w:t>
      </w:r>
      <w:proofErr w:type="gramEnd"/>
      <w:r w:rsidRPr="00C94330">
        <w:rPr>
          <w:rFonts w:cs="Arial"/>
          <w:snapToGrid w:val="0"/>
          <w:sz w:val="15"/>
          <w:szCs w:val="15"/>
          <w:lang w:val="en-US"/>
        </w:rPr>
        <w:t xml:space="preserve"> </w:t>
      </w:r>
      <w:proofErr w:type="spellStart"/>
      <w:r w:rsidRPr="00C94330">
        <w:rPr>
          <w:rFonts w:cs="Arial"/>
          <w:snapToGrid w:val="0"/>
          <w:sz w:val="15"/>
          <w:szCs w:val="15"/>
          <w:lang w:val="en-US"/>
        </w:rPr>
        <w:t>organised</w:t>
      </w:r>
      <w:proofErr w:type="spellEnd"/>
      <w:r w:rsidRPr="00C94330">
        <w:rPr>
          <w:rFonts w:cs="Arial"/>
          <w:snapToGrid w:val="0"/>
          <w:sz w:val="15"/>
          <w:szCs w:val="15"/>
          <w:lang w:val="en-US"/>
        </w:rPr>
        <w:t xml:space="preserve"> by NASD such as Over-the-Counter </w:t>
      </w:r>
      <w:r w:rsidRPr="00C94330">
        <w:rPr>
          <w:rFonts w:cs="Arial"/>
          <w:sz w:val="15"/>
          <w:szCs w:val="15"/>
          <w:lang w:val="en-US"/>
        </w:rPr>
        <w:t>Equity Market, Municipal Bond Market, Government Securities Market, Corporate Bonds and Public Direct Participation Programs) Over-the-Counter-Market for Agency Mortgage-Backed Securities</w:t>
      </w:r>
    </w:p>
    <w:p w:rsidR="00C94330" w:rsidRPr="007823B5" w:rsidRDefault="00C94330" w:rsidP="007823B5">
      <w:pPr>
        <w:spacing w:line="240" w:lineRule="exact"/>
        <w:jc w:val="left"/>
        <w:rPr>
          <w:rFonts w:cs="Arial"/>
          <w:snapToGrid w:val="0"/>
          <w:sz w:val="15"/>
          <w:szCs w:val="15"/>
          <w:lang w:val="en-US"/>
        </w:rPr>
      </w:pPr>
    </w:p>
    <w:p w:rsidR="00C94330" w:rsidRPr="00C94330" w:rsidRDefault="00C94330" w:rsidP="00C94330">
      <w:pPr>
        <w:tabs>
          <w:tab w:val="num" w:pos="0"/>
        </w:tabs>
        <w:spacing w:line="240" w:lineRule="exact"/>
        <w:ind w:left="0" w:firstLine="0"/>
        <w:rPr>
          <w:rFonts w:asciiTheme="majorHAnsi" w:hAnsiTheme="majorHAnsi" w:cs="Arial"/>
          <w:snapToGrid w:val="0"/>
          <w:sz w:val="15"/>
          <w:szCs w:val="15"/>
        </w:rPr>
      </w:pPr>
      <w:bookmarkStart w:id="8" w:name="_Toc48534697"/>
      <w:r w:rsidRPr="00C94330">
        <w:rPr>
          <w:rFonts w:asciiTheme="majorHAnsi" w:hAnsiTheme="majorHAnsi" w:cs="Arial"/>
          <w:snapToGrid w:val="0"/>
          <w:sz w:val="15"/>
          <w:szCs w:val="15"/>
        </w:rPr>
        <w:t xml:space="preserve">5. Börsen mit </w:t>
      </w:r>
      <w:proofErr w:type="spellStart"/>
      <w:r w:rsidRPr="00C94330">
        <w:rPr>
          <w:rFonts w:asciiTheme="majorHAnsi" w:hAnsiTheme="majorHAnsi" w:cs="Arial"/>
          <w:snapToGrid w:val="0"/>
          <w:sz w:val="15"/>
          <w:szCs w:val="15"/>
        </w:rPr>
        <w:t>Futures</w:t>
      </w:r>
      <w:proofErr w:type="spellEnd"/>
      <w:r w:rsidRPr="00C94330">
        <w:rPr>
          <w:rFonts w:asciiTheme="majorHAnsi" w:hAnsiTheme="majorHAnsi" w:cs="Arial"/>
          <w:snapToGrid w:val="0"/>
          <w:sz w:val="15"/>
          <w:szCs w:val="15"/>
        </w:rPr>
        <w:t xml:space="preserve"> und Options Märkten</w:t>
      </w:r>
      <w:bookmarkEnd w:id="8"/>
    </w:p>
    <w:p w:rsidR="00C94330" w:rsidRPr="00C94330" w:rsidRDefault="00C94330" w:rsidP="00C94330">
      <w:pPr>
        <w:spacing w:line="240" w:lineRule="exact"/>
        <w:jc w:val="left"/>
        <w:rPr>
          <w:rFonts w:cs="Arial"/>
          <w:snapToGrid w:val="0"/>
          <w:sz w:val="15"/>
          <w:szCs w:val="15"/>
          <w:lang w:val="fr-FR"/>
        </w:rPr>
      </w:pPr>
      <w:r w:rsidRPr="00C94330">
        <w:rPr>
          <w:rFonts w:cs="Arial"/>
          <w:snapToGrid w:val="0"/>
          <w:sz w:val="15"/>
          <w:szCs w:val="15"/>
          <w:lang w:val="fr-FR"/>
        </w:rPr>
        <w:t>5.1.</w:t>
      </w:r>
      <w:r w:rsidRPr="00C94330">
        <w:rPr>
          <w:rFonts w:cs="Arial"/>
          <w:snapToGrid w:val="0"/>
          <w:sz w:val="15"/>
          <w:szCs w:val="15"/>
          <w:lang w:val="fr-FR"/>
        </w:rPr>
        <w:tab/>
      </w:r>
      <w:proofErr w:type="spellStart"/>
      <w:r w:rsidRPr="00C94330">
        <w:rPr>
          <w:rFonts w:cs="Arial"/>
          <w:snapToGrid w:val="0"/>
          <w:sz w:val="15"/>
          <w:szCs w:val="15"/>
          <w:lang w:val="fr-FR"/>
        </w:rPr>
        <w:t>Argentinien</w:t>
      </w:r>
      <w:proofErr w:type="spellEnd"/>
      <w:r w:rsidRPr="00C94330">
        <w:rPr>
          <w:rFonts w:cs="Arial"/>
          <w:snapToGrid w:val="0"/>
          <w:sz w:val="15"/>
          <w:szCs w:val="15"/>
          <w:lang w:val="fr-FR"/>
        </w:rPr>
        <w:t>:</w:t>
      </w:r>
      <w:r w:rsidRPr="00C94330">
        <w:rPr>
          <w:rFonts w:cs="Arial"/>
          <w:snapToGrid w:val="0"/>
          <w:sz w:val="15"/>
          <w:szCs w:val="15"/>
          <w:lang w:val="fr-FR"/>
        </w:rPr>
        <w:tab/>
      </w:r>
      <w:r w:rsidRPr="00C94330">
        <w:rPr>
          <w:rFonts w:cs="Arial"/>
          <w:snapToGrid w:val="0"/>
          <w:sz w:val="15"/>
          <w:szCs w:val="15"/>
          <w:lang w:val="fr-FR"/>
        </w:rPr>
        <w:tab/>
      </w:r>
      <w:proofErr w:type="spellStart"/>
      <w:r w:rsidRPr="00C94330">
        <w:rPr>
          <w:rFonts w:cs="Arial"/>
          <w:snapToGrid w:val="0"/>
          <w:sz w:val="15"/>
          <w:szCs w:val="15"/>
          <w:lang w:val="fr-FR"/>
        </w:rPr>
        <w:t>Bolsa</w:t>
      </w:r>
      <w:proofErr w:type="spellEnd"/>
      <w:r w:rsidRPr="00C94330">
        <w:rPr>
          <w:rFonts w:cs="Arial"/>
          <w:snapToGrid w:val="0"/>
          <w:sz w:val="15"/>
          <w:szCs w:val="15"/>
          <w:lang w:val="fr-FR"/>
        </w:rPr>
        <w:t xml:space="preserve"> de </w:t>
      </w:r>
      <w:proofErr w:type="spellStart"/>
      <w:r w:rsidRPr="00C94330">
        <w:rPr>
          <w:rFonts w:cs="Arial"/>
          <w:snapToGrid w:val="0"/>
          <w:sz w:val="15"/>
          <w:szCs w:val="15"/>
          <w:lang w:val="fr-FR"/>
        </w:rPr>
        <w:t>Comercio</w:t>
      </w:r>
      <w:proofErr w:type="spellEnd"/>
      <w:r w:rsidRPr="00C94330">
        <w:rPr>
          <w:rFonts w:cs="Arial"/>
          <w:snapToGrid w:val="0"/>
          <w:sz w:val="15"/>
          <w:szCs w:val="15"/>
          <w:lang w:val="fr-FR"/>
        </w:rPr>
        <w:t xml:space="preserve"> de Buenos Aires</w:t>
      </w:r>
    </w:p>
    <w:p w:rsidR="00C94330" w:rsidRPr="00C94330" w:rsidRDefault="00C94330" w:rsidP="00C94330">
      <w:pPr>
        <w:spacing w:line="240" w:lineRule="exact"/>
        <w:jc w:val="left"/>
        <w:rPr>
          <w:rFonts w:cs="Arial"/>
          <w:snapToGrid w:val="0"/>
          <w:sz w:val="15"/>
          <w:szCs w:val="15"/>
          <w:lang w:val="fr-FR"/>
        </w:rPr>
      </w:pPr>
      <w:r w:rsidRPr="00C94330">
        <w:rPr>
          <w:rFonts w:cs="Arial"/>
          <w:snapToGrid w:val="0"/>
          <w:sz w:val="15"/>
          <w:szCs w:val="15"/>
          <w:lang w:val="fr-FR"/>
        </w:rPr>
        <w:t>5.2.</w:t>
      </w:r>
      <w:r w:rsidRPr="00C94330">
        <w:rPr>
          <w:rFonts w:cs="Arial"/>
          <w:snapToGrid w:val="0"/>
          <w:sz w:val="15"/>
          <w:szCs w:val="15"/>
          <w:lang w:val="fr-FR"/>
        </w:rPr>
        <w:tab/>
        <w:t>Australien:</w:t>
      </w:r>
      <w:r w:rsidRPr="00C94330">
        <w:rPr>
          <w:rFonts w:cs="Arial"/>
          <w:snapToGrid w:val="0"/>
          <w:sz w:val="15"/>
          <w:szCs w:val="15"/>
          <w:lang w:val="fr-FR"/>
        </w:rPr>
        <w:tab/>
      </w:r>
      <w:r w:rsidRPr="00C94330">
        <w:rPr>
          <w:rFonts w:cs="Arial"/>
          <w:snapToGrid w:val="0"/>
          <w:sz w:val="15"/>
          <w:szCs w:val="15"/>
          <w:lang w:val="fr-FR"/>
        </w:rPr>
        <w:tab/>
      </w:r>
      <w:proofErr w:type="spellStart"/>
      <w:r w:rsidRPr="00C94330">
        <w:rPr>
          <w:rFonts w:cs="Arial"/>
          <w:snapToGrid w:val="0"/>
          <w:sz w:val="15"/>
          <w:szCs w:val="15"/>
          <w:lang w:val="fr-FR"/>
        </w:rPr>
        <w:t>Australian</w:t>
      </w:r>
      <w:proofErr w:type="spellEnd"/>
      <w:r w:rsidRPr="00C94330">
        <w:rPr>
          <w:rFonts w:cs="Arial"/>
          <w:snapToGrid w:val="0"/>
          <w:sz w:val="15"/>
          <w:szCs w:val="15"/>
          <w:lang w:val="fr-FR"/>
        </w:rPr>
        <w:t xml:space="preserve"> Options </w:t>
      </w:r>
      <w:proofErr w:type="spellStart"/>
      <w:r w:rsidRPr="00C94330">
        <w:rPr>
          <w:rFonts w:cs="Arial"/>
          <w:snapToGrid w:val="0"/>
          <w:sz w:val="15"/>
          <w:szCs w:val="15"/>
          <w:lang w:val="fr-FR"/>
        </w:rPr>
        <w:t>Market</w:t>
      </w:r>
      <w:proofErr w:type="spellEnd"/>
      <w:r w:rsidRPr="00C94330">
        <w:rPr>
          <w:rFonts w:cs="Arial"/>
          <w:snapToGrid w:val="0"/>
          <w:sz w:val="15"/>
          <w:szCs w:val="15"/>
          <w:lang w:val="fr-FR"/>
        </w:rPr>
        <w:t xml:space="preserve">,  </w:t>
      </w:r>
      <w:proofErr w:type="spellStart"/>
      <w:r w:rsidRPr="00C94330">
        <w:rPr>
          <w:rFonts w:cs="Arial"/>
          <w:snapToGrid w:val="0"/>
          <w:sz w:val="15"/>
          <w:szCs w:val="15"/>
          <w:lang w:val="fr-FR"/>
        </w:rPr>
        <w:t>Australian</w:t>
      </w:r>
      <w:proofErr w:type="spellEnd"/>
    </w:p>
    <w:p w:rsidR="00C94330" w:rsidRPr="00C94330" w:rsidRDefault="00C94330" w:rsidP="00C94330">
      <w:pPr>
        <w:spacing w:line="240" w:lineRule="exact"/>
        <w:jc w:val="left"/>
        <w:rPr>
          <w:rFonts w:cs="Arial"/>
          <w:snapToGrid w:val="0"/>
          <w:sz w:val="15"/>
          <w:szCs w:val="15"/>
          <w:lang w:val="fr-FR"/>
        </w:rPr>
      </w:pPr>
      <w:r w:rsidRPr="00C94330">
        <w:rPr>
          <w:rFonts w:cs="Arial"/>
          <w:snapToGrid w:val="0"/>
          <w:sz w:val="15"/>
          <w:szCs w:val="15"/>
          <w:lang w:val="fr-FR"/>
        </w:rPr>
        <w:tab/>
      </w:r>
      <w:r w:rsidRPr="00C94330">
        <w:rPr>
          <w:rFonts w:cs="Arial"/>
          <w:snapToGrid w:val="0"/>
          <w:sz w:val="15"/>
          <w:szCs w:val="15"/>
          <w:lang w:val="fr-FR"/>
        </w:rPr>
        <w:tab/>
      </w:r>
      <w:r w:rsidRPr="00C94330">
        <w:rPr>
          <w:rFonts w:cs="Arial"/>
          <w:snapToGrid w:val="0"/>
          <w:sz w:val="15"/>
          <w:szCs w:val="15"/>
          <w:lang w:val="fr-FR"/>
        </w:rPr>
        <w:tab/>
      </w:r>
      <w:r w:rsidRPr="00C94330">
        <w:rPr>
          <w:rFonts w:cs="Arial"/>
          <w:snapToGrid w:val="0"/>
          <w:sz w:val="15"/>
          <w:szCs w:val="15"/>
          <w:lang w:val="fr-FR"/>
        </w:rPr>
        <w:tab/>
        <w:t>Securities Exchange (ASX)</w:t>
      </w:r>
    </w:p>
    <w:p w:rsidR="00C94330" w:rsidRPr="00C94330" w:rsidRDefault="00C94330" w:rsidP="00C94330">
      <w:pPr>
        <w:spacing w:line="240" w:lineRule="exact"/>
        <w:jc w:val="left"/>
        <w:rPr>
          <w:rFonts w:cs="Arial"/>
          <w:snapToGrid w:val="0"/>
          <w:sz w:val="15"/>
          <w:szCs w:val="15"/>
          <w:lang w:val="fr-FR"/>
        </w:rPr>
      </w:pPr>
      <w:r w:rsidRPr="00C94330">
        <w:rPr>
          <w:rFonts w:cs="Arial"/>
          <w:snapToGrid w:val="0"/>
          <w:sz w:val="15"/>
          <w:szCs w:val="15"/>
          <w:lang w:val="fr-FR"/>
        </w:rPr>
        <w:t>5.3.</w:t>
      </w:r>
      <w:r w:rsidRPr="00C94330">
        <w:rPr>
          <w:rFonts w:cs="Arial"/>
          <w:snapToGrid w:val="0"/>
          <w:sz w:val="15"/>
          <w:szCs w:val="15"/>
          <w:lang w:val="fr-FR"/>
        </w:rPr>
        <w:tab/>
      </w:r>
      <w:proofErr w:type="spellStart"/>
      <w:r w:rsidRPr="00C94330">
        <w:rPr>
          <w:rFonts w:cs="Arial"/>
          <w:snapToGrid w:val="0"/>
          <w:sz w:val="15"/>
          <w:szCs w:val="15"/>
          <w:lang w:val="fr-FR"/>
        </w:rPr>
        <w:t>Brasilien</w:t>
      </w:r>
      <w:proofErr w:type="spellEnd"/>
      <w:r w:rsidRPr="00C94330">
        <w:rPr>
          <w:rFonts w:cs="Arial"/>
          <w:snapToGrid w:val="0"/>
          <w:sz w:val="15"/>
          <w:szCs w:val="15"/>
          <w:lang w:val="fr-FR"/>
        </w:rPr>
        <w:t>:</w:t>
      </w:r>
      <w:r w:rsidRPr="00C94330">
        <w:rPr>
          <w:rFonts w:cs="Arial"/>
          <w:snapToGrid w:val="0"/>
          <w:sz w:val="15"/>
          <w:szCs w:val="15"/>
          <w:lang w:val="fr-FR"/>
        </w:rPr>
        <w:tab/>
      </w:r>
      <w:r w:rsidRPr="00C94330">
        <w:rPr>
          <w:rFonts w:cs="Arial"/>
          <w:snapToGrid w:val="0"/>
          <w:sz w:val="15"/>
          <w:szCs w:val="15"/>
          <w:lang w:val="fr-FR"/>
        </w:rPr>
        <w:tab/>
      </w:r>
      <w:proofErr w:type="spellStart"/>
      <w:r w:rsidRPr="00C94330">
        <w:rPr>
          <w:rFonts w:cs="Arial"/>
          <w:snapToGrid w:val="0"/>
          <w:sz w:val="15"/>
          <w:szCs w:val="15"/>
          <w:lang w:val="fr-FR"/>
        </w:rPr>
        <w:t>Bolsa</w:t>
      </w:r>
      <w:proofErr w:type="spellEnd"/>
      <w:r w:rsidRPr="00C94330">
        <w:rPr>
          <w:rFonts w:cs="Arial"/>
          <w:snapToGrid w:val="0"/>
          <w:sz w:val="15"/>
          <w:szCs w:val="15"/>
          <w:lang w:val="fr-FR"/>
        </w:rPr>
        <w:t xml:space="preserve"> </w:t>
      </w:r>
      <w:proofErr w:type="spellStart"/>
      <w:r w:rsidRPr="00C94330">
        <w:rPr>
          <w:rFonts w:cs="Arial"/>
          <w:snapToGrid w:val="0"/>
          <w:sz w:val="15"/>
          <w:szCs w:val="15"/>
          <w:lang w:val="fr-FR"/>
        </w:rPr>
        <w:t>Brasiliera</w:t>
      </w:r>
      <w:proofErr w:type="spellEnd"/>
      <w:r w:rsidRPr="00C94330">
        <w:rPr>
          <w:rFonts w:cs="Arial"/>
          <w:snapToGrid w:val="0"/>
          <w:sz w:val="15"/>
          <w:szCs w:val="15"/>
          <w:lang w:val="fr-FR"/>
        </w:rPr>
        <w:t xml:space="preserve"> de </w:t>
      </w:r>
      <w:proofErr w:type="spellStart"/>
      <w:r w:rsidRPr="00C94330">
        <w:rPr>
          <w:rFonts w:cs="Arial"/>
          <w:snapToGrid w:val="0"/>
          <w:sz w:val="15"/>
          <w:szCs w:val="15"/>
          <w:lang w:val="fr-FR"/>
        </w:rPr>
        <w:t>Futuros</w:t>
      </w:r>
      <w:proofErr w:type="spellEnd"/>
      <w:r w:rsidRPr="00C94330">
        <w:rPr>
          <w:rFonts w:cs="Arial"/>
          <w:snapToGrid w:val="0"/>
          <w:sz w:val="15"/>
          <w:szCs w:val="15"/>
          <w:lang w:val="fr-FR"/>
        </w:rPr>
        <w:t xml:space="preserve">, </w:t>
      </w:r>
      <w:proofErr w:type="spellStart"/>
      <w:r w:rsidRPr="00C94330">
        <w:rPr>
          <w:rFonts w:cs="Arial"/>
          <w:snapToGrid w:val="0"/>
          <w:sz w:val="15"/>
          <w:szCs w:val="15"/>
          <w:lang w:val="fr-FR"/>
        </w:rPr>
        <w:t>Bolsa</w:t>
      </w:r>
      <w:proofErr w:type="spellEnd"/>
      <w:r w:rsidRPr="00C94330">
        <w:rPr>
          <w:rFonts w:cs="Arial"/>
          <w:snapToGrid w:val="0"/>
          <w:sz w:val="15"/>
          <w:szCs w:val="15"/>
          <w:lang w:val="fr-FR"/>
        </w:rPr>
        <w:t xml:space="preserve"> de </w:t>
      </w:r>
      <w:proofErr w:type="spellStart"/>
      <w:r w:rsidRPr="00C94330">
        <w:rPr>
          <w:rFonts w:cs="Arial"/>
          <w:snapToGrid w:val="0"/>
          <w:sz w:val="15"/>
          <w:szCs w:val="15"/>
          <w:lang w:val="fr-FR"/>
        </w:rPr>
        <w:t>Mercadorias</w:t>
      </w:r>
      <w:proofErr w:type="spellEnd"/>
      <w:r w:rsidRPr="00C94330">
        <w:rPr>
          <w:rFonts w:cs="Arial"/>
          <w:snapToGrid w:val="0"/>
          <w:sz w:val="15"/>
          <w:szCs w:val="15"/>
          <w:lang w:val="fr-FR"/>
        </w:rPr>
        <w:t xml:space="preserve"> &amp; </w:t>
      </w:r>
      <w:proofErr w:type="spellStart"/>
      <w:r w:rsidRPr="00C94330">
        <w:rPr>
          <w:rFonts w:cs="Arial"/>
          <w:snapToGrid w:val="0"/>
          <w:sz w:val="15"/>
          <w:szCs w:val="15"/>
          <w:lang w:val="fr-FR"/>
        </w:rPr>
        <w:t>Futuros</w:t>
      </w:r>
      <w:proofErr w:type="spellEnd"/>
      <w:r w:rsidRPr="00C94330">
        <w:rPr>
          <w:rFonts w:cs="Arial"/>
          <w:snapToGrid w:val="0"/>
          <w:sz w:val="15"/>
          <w:szCs w:val="15"/>
          <w:lang w:val="fr-FR"/>
        </w:rPr>
        <w:t xml:space="preserve">, Rio de </w:t>
      </w:r>
    </w:p>
    <w:p w:rsidR="00C94330" w:rsidRPr="00C94330" w:rsidRDefault="00C94330" w:rsidP="00C94330">
      <w:pPr>
        <w:spacing w:line="240" w:lineRule="exact"/>
        <w:ind w:left="2126" w:firstLine="709"/>
        <w:jc w:val="left"/>
        <w:rPr>
          <w:rFonts w:cs="Arial"/>
          <w:sz w:val="15"/>
          <w:szCs w:val="15"/>
          <w:lang w:val="en-US"/>
        </w:rPr>
      </w:pPr>
      <w:r w:rsidRPr="00C94330">
        <w:rPr>
          <w:rFonts w:cs="Arial"/>
          <w:sz w:val="15"/>
          <w:szCs w:val="15"/>
          <w:lang w:val="en-US"/>
        </w:rPr>
        <w:t>Janeiro Stock Exchange, Sao Paulo Stock Exchange</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5.4.</w:t>
      </w:r>
      <w:r w:rsidRPr="00C94330">
        <w:rPr>
          <w:rFonts w:cs="Arial"/>
          <w:snapToGrid w:val="0"/>
          <w:sz w:val="15"/>
          <w:szCs w:val="15"/>
          <w:lang w:val="en-US"/>
        </w:rPr>
        <w:tab/>
      </w:r>
      <w:proofErr w:type="spellStart"/>
      <w:r w:rsidRPr="00C94330">
        <w:rPr>
          <w:rFonts w:cs="Arial"/>
          <w:snapToGrid w:val="0"/>
          <w:sz w:val="15"/>
          <w:szCs w:val="15"/>
          <w:lang w:val="en-US"/>
        </w:rPr>
        <w:t>Hongkong</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Hong Kong Futures Exchange Ltd.</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5.5.</w:t>
      </w:r>
      <w:r>
        <w:rPr>
          <w:rFonts w:cs="Arial"/>
          <w:snapToGrid w:val="0"/>
          <w:sz w:val="15"/>
          <w:szCs w:val="15"/>
          <w:lang w:val="en-US"/>
        </w:rPr>
        <w:tab/>
        <w:t>Japan:</w:t>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 xml:space="preserve">Osaka Securities Exchange, Tokyo International Financial Futures </w:t>
      </w:r>
    </w:p>
    <w:p w:rsidR="00C94330" w:rsidRPr="00C94330" w:rsidRDefault="00C94330" w:rsidP="00C94330">
      <w:pPr>
        <w:spacing w:line="240" w:lineRule="exact"/>
        <w:ind w:left="2126" w:firstLine="709"/>
        <w:jc w:val="left"/>
        <w:rPr>
          <w:rFonts w:cs="Arial"/>
          <w:snapToGrid w:val="0"/>
          <w:sz w:val="15"/>
          <w:szCs w:val="15"/>
          <w:lang w:val="en-US"/>
        </w:rPr>
      </w:pPr>
      <w:r w:rsidRPr="00C94330">
        <w:rPr>
          <w:rFonts w:cs="Arial"/>
          <w:snapToGrid w:val="0"/>
          <w:sz w:val="15"/>
          <w:szCs w:val="15"/>
          <w:lang w:val="en-US"/>
        </w:rPr>
        <w:t>Exchange, Tokyo Stock Exchange</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5.6.</w:t>
      </w:r>
      <w:r w:rsidRPr="00C94330">
        <w:rPr>
          <w:rFonts w:cs="Arial"/>
          <w:snapToGrid w:val="0"/>
          <w:sz w:val="15"/>
          <w:szCs w:val="15"/>
          <w:lang w:val="en-US"/>
        </w:rPr>
        <w:tab/>
      </w:r>
      <w:proofErr w:type="spellStart"/>
      <w:r w:rsidRPr="00C94330">
        <w:rPr>
          <w:rFonts w:cs="Arial"/>
          <w:snapToGrid w:val="0"/>
          <w:sz w:val="15"/>
          <w:szCs w:val="15"/>
          <w:lang w:val="en-US"/>
        </w:rPr>
        <w:t>Kanada</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Montreal Exchange, Toronto Futures Exchange</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5.7.</w:t>
      </w:r>
      <w:r>
        <w:rPr>
          <w:rFonts w:cs="Arial"/>
          <w:snapToGrid w:val="0"/>
          <w:sz w:val="15"/>
          <w:szCs w:val="15"/>
          <w:lang w:val="en-US"/>
        </w:rPr>
        <w:tab/>
        <w:t>Korea:</w:t>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Korea Exchange (KRX)</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5.8.</w:t>
      </w:r>
      <w:r>
        <w:rPr>
          <w:rFonts w:cs="Arial"/>
          <w:snapToGrid w:val="0"/>
          <w:sz w:val="15"/>
          <w:szCs w:val="15"/>
          <w:lang w:val="en-US"/>
        </w:rPr>
        <w:tab/>
      </w:r>
      <w:proofErr w:type="spellStart"/>
      <w:r>
        <w:rPr>
          <w:rFonts w:cs="Arial"/>
          <w:snapToGrid w:val="0"/>
          <w:sz w:val="15"/>
          <w:szCs w:val="15"/>
          <w:lang w:val="en-US"/>
        </w:rPr>
        <w:t>Mexiko</w:t>
      </w:r>
      <w:proofErr w:type="spellEnd"/>
      <w:r>
        <w:rPr>
          <w:rFonts w:cs="Arial"/>
          <w:snapToGrid w:val="0"/>
          <w:sz w:val="15"/>
          <w:szCs w:val="15"/>
          <w:lang w:val="en-US"/>
        </w:rPr>
        <w:t>:</w:t>
      </w:r>
      <w:r>
        <w:rPr>
          <w:rFonts w:cs="Arial"/>
          <w:snapToGrid w:val="0"/>
          <w:sz w:val="15"/>
          <w:szCs w:val="15"/>
          <w:lang w:val="en-US"/>
        </w:rPr>
        <w:tab/>
      </w:r>
      <w:r>
        <w:rPr>
          <w:rFonts w:cs="Arial"/>
          <w:snapToGrid w:val="0"/>
          <w:sz w:val="15"/>
          <w:szCs w:val="15"/>
          <w:lang w:val="en-US"/>
        </w:rPr>
        <w:tab/>
      </w:r>
      <w:r w:rsidRPr="00C94330">
        <w:rPr>
          <w:rFonts w:cs="Arial"/>
          <w:snapToGrid w:val="0"/>
          <w:sz w:val="15"/>
          <w:szCs w:val="15"/>
          <w:lang w:val="en-US"/>
        </w:rPr>
        <w:t xml:space="preserve">Mercado </w:t>
      </w:r>
      <w:proofErr w:type="spellStart"/>
      <w:r w:rsidRPr="00C94330">
        <w:rPr>
          <w:rFonts w:cs="Arial"/>
          <w:snapToGrid w:val="0"/>
          <w:sz w:val="15"/>
          <w:szCs w:val="15"/>
          <w:lang w:val="en-US"/>
        </w:rPr>
        <w:t>Mexicano</w:t>
      </w:r>
      <w:proofErr w:type="spellEnd"/>
      <w:r w:rsidRPr="00C94330">
        <w:rPr>
          <w:rFonts w:cs="Arial"/>
          <w:snapToGrid w:val="0"/>
          <w:sz w:val="15"/>
          <w:szCs w:val="15"/>
          <w:lang w:val="en-US"/>
        </w:rPr>
        <w:t xml:space="preserve"> de </w:t>
      </w:r>
      <w:proofErr w:type="spellStart"/>
      <w:r w:rsidRPr="00C94330">
        <w:rPr>
          <w:rFonts w:cs="Arial"/>
          <w:snapToGrid w:val="0"/>
          <w:sz w:val="15"/>
          <w:szCs w:val="15"/>
          <w:lang w:val="en-US"/>
        </w:rPr>
        <w:t>Derivados</w:t>
      </w:r>
      <w:proofErr w:type="spellEnd"/>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5.9.</w:t>
      </w:r>
      <w:r w:rsidRPr="00C94330">
        <w:rPr>
          <w:rFonts w:cs="Arial"/>
          <w:snapToGrid w:val="0"/>
          <w:sz w:val="15"/>
          <w:szCs w:val="15"/>
          <w:lang w:val="en-US"/>
        </w:rPr>
        <w:tab/>
      </w:r>
      <w:proofErr w:type="spellStart"/>
      <w:r w:rsidRPr="00C94330">
        <w:rPr>
          <w:rFonts w:cs="Arial"/>
          <w:snapToGrid w:val="0"/>
          <w:sz w:val="15"/>
          <w:szCs w:val="15"/>
          <w:lang w:val="en-US"/>
        </w:rPr>
        <w:t>Neuseeland</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New Zealand Futures &amp; Options Exchange</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5.10.</w:t>
      </w:r>
      <w:r w:rsidRPr="00C94330">
        <w:rPr>
          <w:rFonts w:cs="Arial"/>
          <w:snapToGrid w:val="0"/>
          <w:sz w:val="15"/>
          <w:szCs w:val="15"/>
          <w:lang w:val="en-US"/>
        </w:rPr>
        <w:tab/>
      </w:r>
      <w:proofErr w:type="spellStart"/>
      <w:r w:rsidRPr="00C94330">
        <w:rPr>
          <w:rFonts w:cs="Arial"/>
          <w:snapToGrid w:val="0"/>
          <w:sz w:val="15"/>
          <w:szCs w:val="15"/>
          <w:lang w:val="en-US"/>
        </w:rPr>
        <w:t>Philippinen</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Manila International Futures Exchange</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5.11.</w:t>
      </w:r>
      <w:r w:rsidRPr="00C94330">
        <w:rPr>
          <w:rFonts w:cs="Arial"/>
          <w:snapToGrid w:val="0"/>
          <w:sz w:val="15"/>
          <w:szCs w:val="15"/>
          <w:lang w:val="en-US"/>
        </w:rPr>
        <w:tab/>
      </w:r>
      <w:proofErr w:type="spellStart"/>
      <w:r w:rsidRPr="00C94330">
        <w:rPr>
          <w:rFonts w:cs="Arial"/>
          <w:snapToGrid w:val="0"/>
          <w:sz w:val="15"/>
          <w:szCs w:val="15"/>
          <w:lang w:val="en-US"/>
        </w:rPr>
        <w:t>Singapur</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The Singapore Exchange Limited (SGX)</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5.12.</w:t>
      </w:r>
      <w:r w:rsidRPr="00C94330">
        <w:rPr>
          <w:rFonts w:cs="Arial"/>
          <w:snapToGrid w:val="0"/>
          <w:sz w:val="15"/>
          <w:szCs w:val="15"/>
          <w:lang w:val="en-US"/>
        </w:rPr>
        <w:tab/>
      </w:r>
      <w:proofErr w:type="spellStart"/>
      <w:r w:rsidRPr="00C94330">
        <w:rPr>
          <w:rFonts w:cs="Arial"/>
          <w:snapToGrid w:val="0"/>
          <w:sz w:val="15"/>
          <w:szCs w:val="15"/>
          <w:lang w:val="en-US"/>
        </w:rPr>
        <w:t>Slowakei</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RM-System Slovakia</w:t>
      </w:r>
    </w:p>
    <w:p w:rsidR="00C94330" w:rsidRPr="00C94330" w:rsidRDefault="00C94330" w:rsidP="00C94330">
      <w:pPr>
        <w:spacing w:line="240" w:lineRule="exact"/>
        <w:jc w:val="left"/>
        <w:rPr>
          <w:rFonts w:cs="Arial"/>
          <w:snapToGrid w:val="0"/>
          <w:sz w:val="15"/>
          <w:szCs w:val="15"/>
          <w:lang w:val="en-US"/>
        </w:rPr>
      </w:pPr>
      <w:r w:rsidRPr="00C94330">
        <w:rPr>
          <w:rFonts w:cs="Arial"/>
          <w:snapToGrid w:val="0"/>
          <w:sz w:val="15"/>
          <w:szCs w:val="15"/>
          <w:lang w:val="en-US"/>
        </w:rPr>
        <w:t>5.13.</w:t>
      </w:r>
      <w:r w:rsidRPr="00C94330">
        <w:rPr>
          <w:rFonts w:cs="Arial"/>
          <w:snapToGrid w:val="0"/>
          <w:sz w:val="15"/>
          <w:szCs w:val="15"/>
          <w:lang w:val="en-US"/>
        </w:rPr>
        <w:tab/>
      </w:r>
      <w:proofErr w:type="spellStart"/>
      <w:r w:rsidRPr="00C94330">
        <w:rPr>
          <w:rFonts w:cs="Arial"/>
          <w:snapToGrid w:val="0"/>
          <w:sz w:val="15"/>
          <w:szCs w:val="15"/>
          <w:lang w:val="en-US"/>
        </w:rPr>
        <w:t>Südafrika</w:t>
      </w:r>
      <w:proofErr w:type="spellEnd"/>
      <w:r w:rsidRPr="00C94330">
        <w:rPr>
          <w:rFonts w:cs="Arial"/>
          <w:snapToGrid w:val="0"/>
          <w:sz w:val="15"/>
          <w:szCs w:val="15"/>
          <w:lang w:val="en-US"/>
        </w:rPr>
        <w:t>:</w:t>
      </w:r>
      <w:r w:rsidRPr="00C94330">
        <w:rPr>
          <w:rFonts w:cs="Arial"/>
          <w:snapToGrid w:val="0"/>
          <w:sz w:val="15"/>
          <w:szCs w:val="15"/>
          <w:lang w:val="en-US"/>
        </w:rPr>
        <w:tab/>
      </w:r>
      <w:r w:rsidRPr="00C94330">
        <w:rPr>
          <w:rFonts w:cs="Arial"/>
          <w:snapToGrid w:val="0"/>
          <w:sz w:val="15"/>
          <w:szCs w:val="15"/>
          <w:lang w:val="en-US"/>
        </w:rPr>
        <w:tab/>
        <w:t xml:space="preserve">Johannesburg Stock Exchange (JSE), South African Futures Exchange </w:t>
      </w:r>
    </w:p>
    <w:p w:rsidR="00C94330" w:rsidRPr="00DE206C" w:rsidRDefault="00C94330" w:rsidP="00C94330">
      <w:pPr>
        <w:spacing w:line="240" w:lineRule="exact"/>
        <w:ind w:left="2126" w:firstLine="709"/>
        <w:jc w:val="left"/>
        <w:rPr>
          <w:rFonts w:cs="Arial"/>
          <w:snapToGrid w:val="0"/>
          <w:sz w:val="15"/>
          <w:szCs w:val="15"/>
          <w:lang w:val="de-AT"/>
        </w:rPr>
      </w:pPr>
      <w:r w:rsidRPr="00DE206C">
        <w:rPr>
          <w:rFonts w:cs="Arial"/>
          <w:snapToGrid w:val="0"/>
          <w:sz w:val="15"/>
          <w:szCs w:val="15"/>
          <w:lang w:val="de-AT"/>
        </w:rPr>
        <w:t>(SAFEX)</w:t>
      </w:r>
    </w:p>
    <w:p w:rsidR="00C94330" w:rsidRPr="00DE206C" w:rsidRDefault="00C94330" w:rsidP="00C94330">
      <w:pPr>
        <w:spacing w:line="240" w:lineRule="exact"/>
        <w:jc w:val="left"/>
        <w:rPr>
          <w:rFonts w:cs="Arial"/>
          <w:snapToGrid w:val="0"/>
          <w:sz w:val="15"/>
          <w:szCs w:val="15"/>
          <w:lang w:val="de-AT"/>
        </w:rPr>
      </w:pPr>
      <w:r w:rsidRPr="00DE206C">
        <w:rPr>
          <w:rFonts w:cs="Arial"/>
          <w:snapToGrid w:val="0"/>
          <w:sz w:val="15"/>
          <w:szCs w:val="15"/>
          <w:lang w:val="de-AT"/>
        </w:rPr>
        <w:t>5.14.</w:t>
      </w:r>
      <w:r w:rsidRPr="00DE206C">
        <w:rPr>
          <w:rFonts w:cs="Arial"/>
          <w:snapToGrid w:val="0"/>
          <w:sz w:val="15"/>
          <w:szCs w:val="15"/>
          <w:lang w:val="de-AT"/>
        </w:rPr>
        <w:tab/>
        <w:t>Schweiz:</w:t>
      </w:r>
      <w:r w:rsidRPr="00DE206C">
        <w:rPr>
          <w:rFonts w:cs="Arial"/>
          <w:snapToGrid w:val="0"/>
          <w:sz w:val="15"/>
          <w:szCs w:val="15"/>
          <w:lang w:val="de-AT"/>
        </w:rPr>
        <w:tab/>
      </w:r>
      <w:r w:rsidRPr="00DE206C">
        <w:rPr>
          <w:rFonts w:cs="Arial"/>
          <w:snapToGrid w:val="0"/>
          <w:sz w:val="15"/>
          <w:szCs w:val="15"/>
          <w:lang w:val="de-AT"/>
        </w:rPr>
        <w:tab/>
        <w:t>EUREX</w:t>
      </w:r>
    </w:p>
    <w:p w:rsidR="00C94330" w:rsidRPr="00DE206C" w:rsidRDefault="00C94330" w:rsidP="00C94330">
      <w:pPr>
        <w:spacing w:line="240" w:lineRule="exact"/>
        <w:jc w:val="left"/>
        <w:rPr>
          <w:rFonts w:cs="Arial"/>
          <w:snapToGrid w:val="0"/>
          <w:sz w:val="15"/>
          <w:szCs w:val="15"/>
          <w:lang w:val="de-AT"/>
        </w:rPr>
      </w:pPr>
      <w:r w:rsidRPr="00DE206C">
        <w:rPr>
          <w:rFonts w:cs="Arial"/>
          <w:snapToGrid w:val="0"/>
          <w:sz w:val="15"/>
          <w:szCs w:val="15"/>
          <w:lang w:val="de-AT"/>
        </w:rPr>
        <w:t>5.15.</w:t>
      </w:r>
      <w:r w:rsidRPr="00DE206C">
        <w:rPr>
          <w:rFonts w:cs="Arial"/>
          <w:snapToGrid w:val="0"/>
          <w:sz w:val="15"/>
          <w:szCs w:val="15"/>
          <w:lang w:val="de-AT"/>
        </w:rPr>
        <w:tab/>
        <w:t>Türkei:</w:t>
      </w:r>
      <w:r w:rsidRPr="00DE206C">
        <w:rPr>
          <w:rFonts w:cs="Arial"/>
          <w:snapToGrid w:val="0"/>
          <w:sz w:val="15"/>
          <w:szCs w:val="15"/>
          <w:lang w:val="de-AT"/>
        </w:rPr>
        <w:tab/>
      </w:r>
      <w:r w:rsidRPr="00DE206C">
        <w:rPr>
          <w:rFonts w:cs="Arial"/>
          <w:snapToGrid w:val="0"/>
          <w:sz w:val="15"/>
          <w:szCs w:val="15"/>
          <w:lang w:val="de-AT"/>
        </w:rPr>
        <w:tab/>
      </w:r>
      <w:proofErr w:type="spellStart"/>
      <w:r w:rsidRPr="00DE206C">
        <w:rPr>
          <w:rFonts w:cs="Arial"/>
          <w:snapToGrid w:val="0"/>
          <w:sz w:val="15"/>
          <w:szCs w:val="15"/>
          <w:lang w:val="de-AT"/>
        </w:rPr>
        <w:t>TurkDEX</w:t>
      </w:r>
      <w:proofErr w:type="spellEnd"/>
    </w:p>
    <w:p w:rsidR="00C94330" w:rsidRPr="00C94330" w:rsidRDefault="00C94330" w:rsidP="00C94330">
      <w:pPr>
        <w:spacing w:line="240" w:lineRule="exact"/>
        <w:jc w:val="left"/>
        <w:rPr>
          <w:rFonts w:cs="Arial"/>
          <w:snapToGrid w:val="0"/>
          <w:sz w:val="15"/>
          <w:szCs w:val="15"/>
          <w:lang w:val="en-US"/>
        </w:rPr>
      </w:pPr>
      <w:r w:rsidRPr="00DE206C">
        <w:rPr>
          <w:rFonts w:cs="Arial"/>
          <w:snapToGrid w:val="0"/>
          <w:sz w:val="15"/>
          <w:szCs w:val="15"/>
          <w:lang w:val="de-AT"/>
        </w:rPr>
        <w:t>5.16.</w:t>
      </w:r>
      <w:r w:rsidRPr="00DE206C">
        <w:rPr>
          <w:rFonts w:cs="Arial"/>
          <w:snapToGrid w:val="0"/>
          <w:sz w:val="15"/>
          <w:szCs w:val="15"/>
          <w:lang w:val="de-AT"/>
        </w:rPr>
        <w:tab/>
      </w:r>
      <w:r w:rsidR="007823B5">
        <w:rPr>
          <w:rFonts w:cs="Arial"/>
          <w:snapToGrid w:val="0"/>
          <w:sz w:val="15"/>
          <w:szCs w:val="15"/>
          <w:lang w:val="en-US"/>
        </w:rPr>
        <w:t>USA:</w:t>
      </w:r>
      <w:r w:rsidR="007823B5">
        <w:rPr>
          <w:rFonts w:cs="Arial"/>
          <w:snapToGrid w:val="0"/>
          <w:sz w:val="15"/>
          <w:szCs w:val="15"/>
          <w:lang w:val="en-US"/>
        </w:rPr>
        <w:tab/>
      </w:r>
      <w:r w:rsidR="007823B5">
        <w:rPr>
          <w:rFonts w:cs="Arial"/>
          <w:snapToGrid w:val="0"/>
          <w:sz w:val="15"/>
          <w:szCs w:val="15"/>
          <w:lang w:val="en-US"/>
        </w:rPr>
        <w:tab/>
      </w:r>
      <w:r w:rsidRPr="00C94330">
        <w:rPr>
          <w:rFonts w:cs="Arial"/>
          <w:snapToGrid w:val="0"/>
          <w:sz w:val="15"/>
          <w:szCs w:val="15"/>
          <w:lang w:val="en-US"/>
        </w:rPr>
        <w:t xml:space="preserve">American Stock Exchange, Chicago Board Options Exchange, Chicago, </w:t>
      </w:r>
    </w:p>
    <w:p w:rsidR="00C94330" w:rsidRPr="00C94330" w:rsidRDefault="00C94330" w:rsidP="00C94330">
      <w:pPr>
        <w:spacing w:line="240" w:lineRule="exact"/>
        <w:ind w:left="2836"/>
        <w:jc w:val="left"/>
        <w:rPr>
          <w:rFonts w:cs="Arial"/>
          <w:snapToGrid w:val="0"/>
          <w:sz w:val="15"/>
          <w:szCs w:val="15"/>
          <w:lang w:val="en-US"/>
        </w:rPr>
      </w:pPr>
      <w:r>
        <w:rPr>
          <w:rFonts w:cs="Arial"/>
          <w:snapToGrid w:val="0"/>
          <w:sz w:val="15"/>
          <w:szCs w:val="15"/>
          <w:lang w:val="en-US"/>
        </w:rPr>
        <w:tab/>
      </w:r>
      <w:proofErr w:type="gramStart"/>
      <w:r w:rsidRPr="00C94330">
        <w:rPr>
          <w:rFonts w:cs="Arial"/>
          <w:snapToGrid w:val="0"/>
          <w:sz w:val="15"/>
          <w:szCs w:val="15"/>
          <w:lang w:val="en-US"/>
        </w:rPr>
        <w:t xml:space="preserve">Board of Trade, Chicago Mercantile Exchange, </w:t>
      </w:r>
      <w:proofErr w:type="spellStart"/>
      <w:r w:rsidRPr="00C94330">
        <w:rPr>
          <w:rFonts w:cs="Arial"/>
          <w:snapToGrid w:val="0"/>
          <w:sz w:val="15"/>
          <w:szCs w:val="15"/>
          <w:lang w:val="en-US"/>
        </w:rPr>
        <w:t>Comex</w:t>
      </w:r>
      <w:proofErr w:type="spellEnd"/>
      <w:r w:rsidRPr="00C94330">
        <w:rPr>
          <w:rFonts w:cs="Arial"/>
          <w:snapToGrid w:val="0"/>
          <w:sz w:val="15"/>
          <w:szCs w:val="15"/>
          <w:lang w:val="en-US"/>
        </w:rPr>
        <w:t xml:space="preserve">, </w:t>
      </w:r>
      <w:r w:rsidRPr="00C94330">
        <w:rPr>
          <w:rFonts w:cs="Arial"/>
          <w:sz w:val="15"/>
          <w:szCs w:val="15"/>
          <w:lang w:val="en-US"/>
        </w:rPr>
        <w:t>FINEX, Mid America Commodity Exchange, ICE Future US Inc.</w:t>
      </w:r>
      <w:proofErr w:type="gramEnd"/>
      <w:r w:rsidRPr="00C94330">
        <w:rPr>
          <w:rFonts w:cs="Arial"/>
          <w:sz w:val="15"/>
          <w:szCs w:val="15"/>
          <w:lang w:val="en-US"/>
        </w:rPr>
        <w:t xml:space="preserve"> New York, Pacific Stock Exchange, Philadelphia Stock Exchange, New York Stock Exchange, Boston Options Exchange (BOX)</w:t>
      </w:r>
    </w:p>
    <w:p w:rsidR="00B24370" w:rsidRPr="00C94330" w:rsidRDefault="00B24370" w:rsidP="00C94330">
      <w:pPr>
        <w:tabs>
          <w:tab w:val="left" w:pos="2540"/>
        </w:tabs>
        <w:spacing w:line="240" w:lineRule="exact"/>
        <w:jc w:val="left"/>
        <w:rPr>
          <w:sz w:val="15"/>
          <w:szCs w:val="15"/>
          <w:lang w:val="en-US"/>
        </w:rPr>
      </w:pPr>
    </w:p>
    <w:sectPr w:rsidR="00B24370" w:rsidRPr="00C94330" w:rsidSect="00211998">
      <w:headerReference w:type="default" r:id="rId10"/>
      <w:footerReference w:type="default" r:id="rId11"/>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CF" w:rsidRDefault="00B36ECF" w:rsidP="0059039D">
      <w:r>
        <w:separator/>
      </w:r>
    </w:p>
  </w:endnote>
  <w:endnote w:type="continuationSeparator" w:id="0">
    <w:p w:rsidR="00B36ECF" w:rsidRDefault="00B36ECF" w:rsidP="0059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Times New Roman"/>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wis721 Md BT">
    <w:altName w:val="Times New Roman"/>
    <w:panose1 w:val="020B0604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6C" w:rsidRPr="006E0EB0" w:rsidRDefault="00DE206C" w:rsidP="006E0EB0">
    <w:pPr>
      <w:pStyle w:val="FuzeileGltigkeitsdatumSeite"/>
      <w:tabs>
        <w:tab w:val="right" w:pos="9356"/>
      </w:tabs>
    </w:pPr>
    <w:r w:rsidRPr="006E0EB0">
      <w:t xml:space="preserve">gültig ab: </w:t>
    </w:r>
    <w:r w:rsidR="001C0A3F">
      <w:t>01.10.2014</w:t>
    </w:r>
    <w:r w:rsidRPr="006E0EB0">
      <w:tab/>
    </w:r>
    <w:r>
      <w:fldChar w:fldCharType="begin"/>
    </w:r>
    <w:r>
      <w:instrText xml:space="preserve"> PAGE </w:instrText>
    </w:r>
    <w:r>
      <w:fldChar w:fldCharType="separate"/>
    </w:r>
    <w:r w:rsidR="00B2316D">
      <w:rPr>
        <w:noProof/>
      </w:rPr>
      <w:t>6</w:t>
    </w:r>
    <w:r>
      <w:rPr>
        <w:noProof/>
      </w:rPr>
      <w:fldChar w:fldCharType="end"/>
    </w:r>
  </w:p>
  <w:p w:rsidR="00DE206C" w:rsidRPr="006E0EB0" w:rsidRDefault="00DD525C" w:rsidP="006E0EB0">
    <w:pPr>
      <w:pStyle w:val="FuzeileFondsname"/>
    </w:pPr>
    <w:r>
      <w:t>Raiffeisen-</w:t>
    </w:r>
    <w:proofErr w:type="spellStart"/>
    <w:r>
      <w:t>EuroPlus</w:t>
    </w:r>
    <w:proofErr w:type="spellEnd"/>
    <w:r>
      <w:t>-</w:t>
    </w:r>
    <w:proofErr w:type="spellStart"/>
    <w:r>
      <w:t>Rent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CF" w:rsidRDefault="00B36ECF" w:rsidP="0059039D">
      <w:r>
        <w:separator/>
      </w:r>
    </w:p>
  </w:footnote>
  <w:footnote w:type="continuationSeparator" w:id="0">
    <w:p w:rsidR="00B36ECF" w:rsidRDefault="00B36ECF" w:rsidP="0059039D">
      <w:r>
        <w:continuationSeparator/>
      </w:r>
    </w:p>
  </w:footnote>
  <w:footnote w:id="1">
    <w:p w:rsidR="00DE206C" w:rsidRPr="001D6A0A" w:rsidRDefault="00DE206C" w:rsidP="001D6A0A">
      <w:pPr>
        <w:pStyle w:val="Funotentext"/>
        <w:ind w:left="0" w:firstLine="0"/>
        <w:jc w:val="left"/>
        <w:rPr>
          <w:sz w:val="13"/>
          <w:szCs w:val="13"/>
        </w:rPr>
      </w:pPr>
      <w:r w:rsidRPr="001D6A0A">
        <w:rPr>
          <w:rStyle w:val="Funotenzeichen"/>
          <w:sz w:val="13"/>
          <w:szCs w:val="13"/>
        </w:rPr>
        <w:footnoteRef/>
      </w:r>
      <w:r w:rsidRPr="001D6A0A">
        <w:rPr>
          <w:sz w:val="13"/>
          <w:szCs w:val="13"/>
        </w:rPr>
        <w:t xml:space="preserve"> Zum Öffnen des Verzeichnisses auf „</w:t>
      </w:r>
      <w:proofErr w:type="spellStart"/>
      <w:r w:rsidRPr="001D6A0A">
        <w:rPr>
          <w:sz w:val="13"/>
          <w:szCs w:val="13"/>
        </w:rPr>
        <w:t>view</w:t>
      </w:r>
      <w:proofErr w:type="spellEnd"/>
      <w:r w:rsidRPr="001D6A0A">
        <w:rPr>
          <w:sz w:val="13"/>
          <w:szCs w:val="13"/>
        </w:rPr>
        <w:t xml:space="preserve"> all“ klicken. Der Link kann durch die FMA bzw. die ESMA geändert werden.</w:t>
      </w:r>
    </w:p>
    <w:p w:rsidR="00DE206C" w:rsidRPr="001D6A0A" w:rsidRDefault="00DE206C" w:rsidP="001D6A0A">
      <w:pPr>
        <w:pStyle w:val="Funotentext"/>
        <w:ind w:left="0" w:firstLine="0"/>
        <w:jc w:val="left"/>
        <w:rPr>
          <w:sz w:val="13"/>
          <w:szCs w:val="13"/>
        </w:rPr>
      </w:pPr>
      <w:r w:rsidRPr="001D6A0A">
        <w:rPr>
          <w:sz w:val="13"/>
          <w:szCs w:val="13"/>
        </w:rPr>
        <w:t>[Über die FMA-Homepage gelangen Sie auf folgendem Weg zum Verzeichnis:</w:t>
      </w:r>
    </w:p>
    <w:p w:rsidR="00DE206C" w:rsidRPr="001D6A0A" w:rsidRDefault="00B36ECF" w:rsidP="001D6A0A">
      <w:pPr>
        <w:pStyle w:val="Funotentext"/>
        <w:ind w:left="0" w:firstLine="0"/>
        <w:jc w:val="left"/>
        <w:rPr>
          <w:sz w:val="13"/>
          <w:szCs w:val="13"/>
        </w:rPr>
      </w:pPr>
      <w:hyperlink r:id="rId1" w:history="1">
        <w:r w:rsidR="00DE206C" w:rsidRPr="001D6A0A">
          <w:rPr>
            <w:rStyle w:val="Hyperlink"/>
            <w:sz w:val="13"/>
            <w:szCs w:val="13"/>
          </w:rPr>
          <w:t>http://www.fma.gv.at/de/unternehmen/boerse-wertpapierhandel/boerse.html</w:t>
        </w:r>
      </w:hyperlink>
      <w:r w:rsidR="00DE206C" w:rsidRPr="001D6A0A">
        <w:rPr>
          <w:sz w:val="13"/>
          <w:szCs w:val="13"/>
        </w:rPr>
        <w:t xml:space="preserve"> - hinunterscrollen - Link „Liste der geregelten Märkte (</w:t>
      </w:r>
      <w:proofErr w:type="spellStart"/>
      <w:r w:rsidR="00DE206C" w:rsidRPr="001D6A0A">
        <w:rPr>
          <w:sz w:val="13"/>
          <w:szCs w:val="13"/>
        </w:rPr>
        <w:t>MiFID</w:t>
      </w:r>
      <w:proofErr w:type="spellEnd"/>
      <w:r w:rsidR="00DE206C" w:rsidRPr="001D6A0A">
        <w:rPr>
          <w:sz w:val="13"/>
          <w:szCs w:val="13"/>
        </w:rPr>
        <w:t xml:space="preserve"> Database; ESMA)“ – „</w:t>
      </w:r>
      <w:proofErr w:type="spellStart"/>
      <w:r w:rsidR="00DE206C" w:rsidRPr="001D6A0A">
        <w:rPr>
          <w:sz w:val="13"/>
          <w:szCs w:val="13"/>
        </w:rPr>
        <w:t>view</w:t>
      </w:r>
      <w:proofErr w:type="spellEnd"/>
      <w:r w:rsidR="00DE206C" w:rsidRPr="001D6A0A">
        <w:rPr>
          <w:sz w:val="13"/>
          <w:szCs w:val="13"/>
        </w:rPr>
        <w:t xml:space="preserve"> 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6C" w:rsidRDefault="00DE206C" w:rsidP="006E0EB0">
    <w:pPr>
      <w:pStyle w:val="Kopfzeile"/>
      <w:jc w:val="right"/>
    </w:pPr>
    <w:r w:rsidRPr="006E0EB0">
      <w:rPr>
        <w:noProof/>
        <w:lang w:val="de-AT" w:eastAsia="de-AT"/>
      </w:rPr>
      <w:drawing>
        <wp:inline distT="0" distB="0" distL="0" distR="0">
          <wp:extent cx="1362075" cy="285750"/>
          <wp:effectExtent l="19050" t="0" r="9525" b="0"/>
          <wp:docPr id="1" name="Bild 1" descr="rcm-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positiv"/>
                  <pic:cNvPicPr>
                    <a:picLocks noChangeAspect="1" noChangeArrowheads="1"/>
                  </pic:cNvPicPr>
                </pic:nvPicPr>
                <pic:blipFill>
                  <a:blip r:embed="rId1"/>
                  <a:srcRect/>
                  <a:stretch>
                    <a:fillRect/>
                  </a:stretch>
                </pic:blipFill>
                <pic:spPr bwMode="auto">
                  <a:xfrm>
                    <a:off x="0" y="0"/>
                    <a:ext cx="1362075" cy="285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2CF6D2"/>
    <w:lvl w:ilvl="0">
      <w:start w:val="1"/>
      <w:numFmt w:val="bullet"/>
      <w:lvlText w:val=""/>
      <w:lvlJc w:val="left"/>
      <w:pPr>
        <w:ind w:left="720" w:hanging="360"/>
      </w:pPr>
      <w:rPr>
        <w:rFonts w:ascii="Wingdings" w:hAnsi="Wingdings" w:hint="default"/>
      </w:rPr>
    </w:lvl>
  </w:abstractNum>
  <w:abstractNum w:abstractNumId="1">
    <w:nsid w:val="05CA3969"/>
    <w:multiLevelType w:val="hybridMultilevel"/>
    <w:tmpl w:val="0540BC40"/>
    <w:lvl w:ilvl="0" w:tplc="0D2EE19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D575AB"/>
    <w:multiLevelType w:val="hybridMultilevel"/>
    <w:tmpl w:val="4184E544"/>
    <w:lvl w:ilvl="0" w:tplc="0D2EE19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94165B"/>
    <w:multiLevelType w:val="hybridMultilevel"/>
    <w:tmpl w:val="AD4A9802"/>
    <w:lvl w:ilvl="0" w:tplc="0407000B">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BA737B"/>
    <w:multiLevelType w:val="hybridMultilevel"/>
    <w:tmpl w:val="70F02056"/>
    <w:lvl w:ilvl="0" w:tplc="729C3DC8">
      <w:start w:val="2"/>
      <w:numFmt w:val="bullet"/>
      <w:lvlText w:val="-"/>
      <w:lvlJc w:val="left"/>
      <w:pPr>
        <w:tabs>
          <w:tab w:val="num" w:pos="921"/>
        </w:tabs>
        <w:ind w:left="921" w:hanging="360"/>
      </w:pPr>
      <w:rPr>
        <w:rFonts w:ascii="Times New Roman" w:eastAsia="Times New Roman" w:hAnsi="Times New Roman" w:cs="Times New Roman" w:hint="default"/>
      </w:rPr>
    </w:lvl>
    <w:lvl w:ilvl="1" w:tplc="04070003" w:tentative="1">
      <w:start w:val="1"/>
      <w:numFmt w:val="bullet"/>
      <w:lvlText w:val="o"/>
      <w:lvlJc w:val="left"/>
      <w:pPr>
        <w:tabs>
          <w:tab w:val="num" w:pos="1641"/>
        </w:tabs>
        <w:ind w:left="1641" w:hanging="360"/>
      </w:pPr>
      <w:rPr>
        <w:rFonts w:ascii="Courier New" w:hAnsi="Courier New" w:hint="default"/>
      </w:rPr>
    </w:lvl>
    <w:lvl w:ilvl="2" w:tplc="04070005" w:tentative="1">
      <w:start w:val="1"/>
      <w:numFmt w:val="bullet"/>
      <w:lvlText w:val=""/>
      <w:lvlJc w:val="left"/>
      <w:pPr>
        <w:tabs>
          <w:tab w:val="num" w:pos="2361"/>
        </w:tabs>
        <w:ind w:left="2361" w:hanging="360"/>
      </w:pPr>
      <w:rPr>
        <w:rFonts w:ascii="Wingdings" w:hAnsi="Wingdings" w:hint="default"/>
      </w:rPr>
    </w:lvl>
    <w:lvl w:ilvl="3" w:tplc="04070001" w:tentative="1">
      <w:start w:val="1"/>
      <w:numFmt w:val="bullet"/>
      <w:lvlText w:val=""/>
      <w:lvlJc w:val="left"/>
      <w:pPr>
        <w:tabs>
          <w:tab w:val="num" w:pos="3081"/>
        </w:tabs>
        <w:ind w:left="3081" w:hanging="360"/>
      </w:pPr>
      <w:rPr>
        <w:rFonts w:ascii="Symbol" w:hAnsi="Symbol" w:hint="default"/>
      </w:rPr>
    </w:lvl>
    <w:lvl w:ilvl="4" w:tplc="04070003" w:tentative="1">
      <w:start w:val="1"/>
      <w:numFmt w:val="bullet"/>
      <w:lvlText w:val="o"/>
      <w:lvlJc w:val="left"/>
      <w:pPr>
        <w:tabs>
          <w:tab w:val="num" w:pos="3801"/>
        </w:tabs>
        <w:ind w:left="3801" w:hanging="360"/>
      </w:pPr>
      <w:rPr>
        <w:rFonts w:ascii="Courier New" w:hAnsi="Courier New" w:hint="default"/>
      </w:rPr>
    </w:lvl>
    <w:lvl w:ilvl="5" w:tplc="04070005" w:tentative="1">
      <w:start w:val="1"/>
      <w:numFmt w:val="bullet"/>
      <w:lvlText w:val=""/>
      <w:lvlJc w:val="left"/>
      <w:pPr>
        <w:tabs>
          <w:tab w:val="num" w:pos="4521"/>
        </w:tabs>
        <w:ind w:left="4521" w:hanging="360"/>
      </w:pPr>
      <w:rPr>
        <w:rFonts w:ascii="Wingdings" w:hAnsi="Wingdings" w:hint="default"/>
      </w:rPr>
    </w:lvl>
    <w:lvl w:ilvl="6" w:tplc="04070001" w:tentative="1">
      <w:start w:val="1"/>
      <w:numFmt w:val="bullet"/>
      <w:lvlText w:val=""/>
      <w:lvlJc w:val="left"/>
      <w:pPr>
        <w:tabs>
          <w:tab w:val="num" w:pos="5241"/>
        </w:tabs>
        <w:ind w:left="5241" w:hanging="360"/>
      </w:pPr>
      <w:rPr>
        <w:rFonts w:ascii="Symbol" w:hAnsi="Symbol" w:hint="default"/>
      </w:rPr>
    </w:lvl>
    <w:lvl w:ilvl="7" w:tplc="04070003" w:tentative="1">
      <w:start w:val="1"/>
      <w:numFmt w:val="bullet"/>
      <w:lvlText w:val="o"/>
      <w:lvlJc w:val="left"/>
      <w:pPr>
        <w:tabs>
          <w:tab w:val="num" w:pos="5961"/>
        </w:tabs>
        <w:ind w:left="5961" w:hanging="360"/>
      </w:pPr>
      <w:rPr>
        <w:rFonts w:ascii="Courier New" w:hAnsi="Courier New" w:hint="default"/>
      </w:rPr>
    </w:lvl>
    <w:lvl w:ilvl="8" w:tplc="04070005" w:tentative="1">
      <w:start w:val="1"/>
      <w:numFmt w:val="bullet"/>
      <w:lvlText w:val=""/>
      <w:lvlJc w:val="left"/>
      <w:pPr>
        <w:tabs>
          <w:tab w:val="num" w:pos="6681"/>
        </w:tabs>
        <w:ind w:left="6681" w:hanging="360"/>
      </w:pPr>
      <w:rPr>
        <w:rFonts w:ascii="Wingdings" w:hAnsi="Wingdings" w:hint="default"/>
      </w:rPr>
    </w:lvl>
  </w:abstractNum>
  <w:abstractNum w:abstractNumId="5">
    <w:nsid w:val="10F66989"/>
    <w:multiLevelType w:val="hybridMultilevel"/>
    <w:tmpl w:val="13FAB936"/>
    <w:lvl w:ilvl="0" w:tplc="0D2EE19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AF7E54"/>
    <w:multiLevelType w:val="hybridMultilevel"/>
    <w:tmpl w:val="51E2C03C"/>
    <w:lvl w:ilvl="0" w:tplc="6DD04C3E">
      <w:numFmt w:val="bullet"/>
      <w:lvlText w:val=""/>
      <w:lvlJc w:val="left"/>
      <w:pPr>
        <w:ind w:left="720" w:hanging="360"/>
      </w:pPr>
      <w:rPr>
        <w:rFonts w:ascii="Wingdings" w:eastAsiaTheme="minorHAnsi" w:hAnsi="Wingdings"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36E0940"/>
    <w:multiLevelType w:val="hybridMultilevel"/>
    <w:tmpl w:val="2F5AE9AC"/>
    <w:lvl w:ilvl="0" w:tplc="0D2EE19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730B38"/>
    <w:multiLevelType w:val="hybridMultilevel"/>
    <w:tmpl w:val="A64C61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98B1BBB"/>
    <w:multiLevelType w:val="hybridMultilevel"/>
    <w:tmpl w:val="34F4F2F8"/>
    <w:lvl w:ilvl="0" w:tplc="4B820CD8">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ED7E2F"/>
    <w:multiLevelType w:val="hybridMultilevel"/>
    <w:tmpl w:val="32622B44"/>
    <w:lvl w:ilvl="0" w:tplc="4B820CD8">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914351"/>
    <w:multiLevelType w:val="multilevel"/>
    <w:tmpl w:val="8C30A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681D5A"/>
    <w:multiLevelType w:val="hybridMultilevel"/>
    <w:tmpl w:val="9C46BE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nsid w:val="2ABA4EC9"/>
    <w:multiLevelType w:val="singleLevel"/>
    <w:tmpl w:val="7DF48D94"/>
    <w:lvl w:ilvl="0">
      <w:start w:val="1"/>
      <w:numFmt w:val="bullet"/>
      <w:lvlText w:val=""/>
      <w:lvlJc w:val="left"/>
      <w:pPr>
        <w:tabs>
          <w:tab w:val="num" w:pos="360"/>
        </w:tabs>
        <w:ind w:left="284" w:hanging="284"/>
      </w:pPr>
      <w:rPr>
        <w:rFonts w:ascii="Symbol" w:hAnsi="Symbol" w:hint="default"/>
      </w:rPr>
    </w:lvl>
  </w:abstractNum>
  <w:abstractNum w:abstractNumId="14">
    <w:nsid w:val="2FB33517"/>
    <w:multiLevelType w:val="hybridMultilevel"/>
    <w:tmpl w:val="F8BE450C"/>
    <w:lvl w:ilvl="0" w:tplc="729C3DC8">
      <w:start w:val="2"/>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17759F9"/>
    <w:multiLevelType w:val="hybridMultilevel"/>
    <w:tmpl w:val="F87AE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E47804"/>
    <w:multiLevelType w:val="hybridMultilevel"/>
    <w:tmpl w:val="DD386D2E"/>
    <w:lvl w:ilvl="0" w:tplc="0D2EE19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FF7CC9"/>
    <w:multiLevelType w:val="singleLevel"/>
    <w:tmpl w:val="C11A8B02"/>
    <w:lvl w:ilvl="0">
      <w:start w:val="1"/>
      <w:numFmt w:val="bullet"/>
      <w:lvlText w:val=""/>
      <w:lvlJc w:val="left"/>
      <w:pPr>
        <w:tabs>
          <w:tab w:val="num" w:pos="360"/>
        </w:tabs>
        <w:ind w:left="284" w:hanging="284"/>
      </w:pPr>
      <w:rPr>
        <w:rFonts w:ascii="Symbol" w:hAnsi="Symbol" w:hint="default"/>
      </w:rPr>
    </w:lvl>
  </w:abstractNum>
  <w:abstractNum w:abstractNumId="18">
    <w:nsid w:val="40B51085"/>
    <w:multiLevelType w:val="hybridMultilevel"/>
    <w:tmpl w:val="13EE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E43E35"/>
    <w:multiLevelType w:val="hybridMultilevel"/>
    <w:tmpl w:val="954ABC18"/>
    <w:lvl w:ilvl="0" w:tplc="6F6018D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8FD62D4"/>
    <w:multiLevelType w:val="multilevel"/>
    <w:tmpl w:val="D5DE35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E52627"/>
    <w:multiLevelType w:val="hybridMultilevel"/>
    <w:tmpl w:val="2C00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5546A9"/>
    <w:multiLevelType w:val="hybridMultilevel"/>
    <w:tmpl w:val="CF46267E"/>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23">
    <w:nsid w:val="4C56358D"/>
    <w:multiLevelType w:val="hybridMultilevel"/>
    <w:tmpl w:val="2F36868C"/>
    <w:lvl w:ilvl="0" w:tplc="4B4C3058">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A43077"/>
    <w:multiLevelType w:val="hybridMultilevel"/>
    <w:tmpl w:val="8D6A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B75CDF"/>
    <w:multiLevelType w:val="singleLevel"/>
    <w:tmpl w:val="7DF48D94"/>
    <w:lvl w:ilvl="0">
      <w:start w:val="1"/>
      <w:numFmt w:val="bullet"/>
      <w:lvlText w:val=""/>
      <w:lvlJc w:val="left"/>
      <w:pPr>
        <w:tabs>
          <w:tab w:val="num" w:pos="360"/>
        </w:tabs>
        <w:ind w:left="284" w:hanging="284"/>
      </w:pPr>
      <w:rPr>
        <w:rFonts w:ascii="Symbol" w:hAnsi="Symbol" w:hint="default"/>
      </w:rPr>
    </w:lvl>
  </w:abstractNum>
  <w:abstractNum w:abstractNumId="26">
    <w:nsid w:val="503679E9"/>
    <w:multiLevelType w:val="hybridMultilevel"/>
    <w:tmpl w:val="87CAF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5B352B3"/>
    <w:multiLevelType w:val="multilevel"/>
    <w:tmpl w:val="9A5A1C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C610A7"/>
    <w:multiLevelType w:val="hybridMultilevel"/>
    <w:tmpl w:val="596AA7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3913DD"/>
    <w:multiLevelType w:val="multilevel"/>
    <w:tmpl w:val="8D9ABB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E33DA9"/>
    <w:multiLevelType w:val="singleLevel"/>
    <w:tmpl w:val="7DF48D94"/>
    <w:lvl w:ilvl="0">
      <w:start w:val="1"/>
      <w:numFmt w:val="bullet"/>
      <w:lvlText w:val=""/>
      <w:lvlJc w:val="left"/>
      <w:pPr>
        <w:tabs>
          <w:tab w:val="num" w:pos="360"/>
        </w:tabs>
        <w:ind w:left="284" w:hanging="284"/>
      </w:pPr>
      <w:rPr>
        <w:rFonts w:ascii="Symbol" w:hAnsi="Symbol" w:hint="default"/>
      </w:rPr>
    </w:lvl>
  </w:abstractNum>
  <w:abstractNum w:abstractNumId="31">
    <w:nsid w:val="72F5627C"/>
    <w:multiLevelType w:val="multilevel"/>
    <w:tmpl w:val="EF984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397D2C"/>
    <w:multiLevelType w:val="multilevel"/>
    <w:tmpl w:val="2B746E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351E51"/>
    <w:multiLevelType w:val="hybridMultilevel"/>
    <w:tmpl w:val="BAC460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FD15E3"/>
    <w:multiLevelType w:val="hybridMultilevel"/>
    <w:tmpl w:val="77CC42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11"/>
  </w:num>
  <w:num w:numId="3">
    <w:abstractNumId w:val="29"/>
  </w:num>
  <w:num w:numId="4">
    <w:abstractNumId w:val="32"/>
  </w:num>
  <w:num w:numId="5">
    <w:abstractNumId w:val="19"/>
  </w:num>
  <w:num w:numId="6">
    <w:abstractNumId w:val="0"/>
  </w:num>
  <w:num w:numId="7">
    <w:abstractNumId w:val="11"/>
  </w:num>
  <w:num w:numId="8">
    <w:abstractNumId w:val="27"/>
  </w:num>
  <w:num w:numId="9">
    <w:abstractNumId w:val="27"/>
  </w:num>
  <w:num w:numId="10">
    <w:abstractNumId w:val="27"/>
  </w:num>
  <w:num w:numId="11">
    <w:abstractNumId w:val="17"/>
  </w:num>
  <w:num w:numId="12">
    <w:abstractNumId w:val="30"/>
  </w:num>
  <w:num w:numId="13">
    <w:abstractNumId w:val="25"/>
  </w:num>
  <w:num w:numId="14">
    <w:abstractNumId w:val="13"/>
  </w:num>
  <w:num w:numId="15">
    <w:abstractNumId w:val="4"/>
  </w:num>
  <w:num w:numId="16">
    <w:abstractNumId w:val="31"/>
  </w:num>
  <w:num w:numId="17">
    <w:abstractNumId w:val="33"/>
  </w:num>
  <w:num w:numId="18">
    <w:abstractNumId w:val="22"/>
  </w:num>
  <w:num w:numId="19">
    <w:abstractNumId w:val="21"/>
  </w:num>
  <w:num w:numId="20">
    <w:abstractNumId w:val="15"/>
  </w:num>
  <w:num w:numId="21">
    <w:abstractNumId w:val="18"/>
  </w:num>
  <w:num w:numId="22">
    <w:abstractNumId w:val="26"/>
  </w:num>
  <w:num w:numId="23">
    <w:abstractNumId w:val="3"/>
  </w:num>
  <w:num w:numId="24">
    <w:abstractNumId w:val="9"/>
  </w:num>
  <w:num w:numId="25">
    <w:abstractNumId w:val="28"/>
  </w:num>
  <w:num w:numId="26">
    <w:abstractNumId w:val="16"/>
  </w:num>
  <w:num w:numId="27">
    <w:abstractNumId w:val="5"/>
  </w:num>
  <w:num w:numId="28">
    <w:abstractNumId w:val="7"/>
  </w:num>
  <w:num w:numId="29">
    <w:abstractNumId w:val="1"/>
  </w:num>
  <w:num w:numId="30">
    <w:abstractNumId w:val="2"/>
  </w:num>
  <w:num w:numId="31">
    <w:abstractNumId w:val="10"/>
  </w:num>
  <w:num w:numId="32">
    <w:abstractNumId w:val="14"/>
  </w:num>
  <w:num w:numId="33">
    <w:abstractNumId w:val="24"/>
  </w:num>
  <w:num w:numId="34">
    <w:abstractNumId w:val="23"/>
  </w:num>
  <w:num w:numId="35">
    <w:abstractNumId w:val="12"/>
  </w:num>
  <w:num w:numId="36">
    <w:abstractNumId w:val="34"/>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98"/>
    <w:rsid w:val="000006B9"/>
    <w:rsid w:val="00001DBB"/>
    <w:rsid w:val="00003836"/>
    <w:rsid w:val="000063D9"/>
    <w:rsid w:val="00011730"/>
    <w:rsid w:val="0001333C"/>
    <w:rsid w:val="00014105"/>
    <w:rsid w:val="0001775E"/>
    <w:rsid w:val="0002145E"/>
    <w:rsid w:val="00024374"/>
    <w:rsid w:val="0002449C"/>
    <w:rsid w:val="00026F61"/>
    <w:rsid w:val="000272DE"/>
    <w:rsid w:val="0002764F"/>
    <w:rsid w:val="00034AC8"/>
    <w:rsid w:val="000351EE"/>
    <w:rsid w:val="000370A9"/>
    <w:rsid w:val="000378C1"/>
    <w:rsid w:val="00040FFB"/>
    <w:rsid w:val="00041014"/>
    <w:rsid w:val="0004146B"/>
    <w:rsid w:val="00041902"/>
    <w:rsid w:val="00043A45"/>
    <w:rsid w:val="000442B8"/>
    <w:rsid w:val="000449E3"/>
    <w:rsid w:val="0004590F"/>
    <w:rsid w:val="0004689A"/>
    <w:rsid w:val="000469A4"/>
    <w:rsid w:val="00047510"/>
    <w:rsid w:val="000501D1"/>
    <w:rsid w:val="00051DB0"/>
    <w:rsid w:val="0005229A"/>
    <w:rsid w:val="000528A0"/>
    <w:rsid w:val="0005531F"/>
    <w:rsid w:val="00057B11"/>
    <w:rsid w:val="00061C6C"/>
    <w:rsid w:val="00061F05"/>
    <w:rsid w:val="000635AB"/>
    <w:rsid w:val="00065E96"/>
    <w:rsid w:val="00066909"/>
    <w:rsid w:val="000671D0"/>
    <w:rsid w:val="0006747F"/>
    <w:rsid w:val="000712A0"/>
    <w:rsid w:val="000753DF"/>
    <w:rsid w:val="00076264"/>
    <w:rsid w:val="00077125"/>
    <w:rsid w:val="0007745E"/>
    <w:rsid w:val="00080626"/>
    <w:rsid w:val="0008254B"/>
    <w:rsid w:val="0008493D"/>
    <w:rsid w:val="0008502D"/>
    <w:rsid w:val="0008692C"/>
    <w:rsid w:val="00092466"/>
    <w:rsid w:val="0009351B"/>
    <w:rsid w:val="00093C61"/>
    <w:rsid w:val="00094CBD"/>
    <w:rsid w:val="00096C01"/>
    <w:rsid w:val="0009725B"/>
    <w:rsid w:val="0009727B"/>
    <w:rsid w:val="00097ACF"/>
    <w:rsid w:val="000A0E4F"/>
    <w:rsid w:val="000A1BCC"/>
    <w:rsid w:val="000A1E34"/>
    <w:rsid w:val="000A6C67"/>
    <w:rsid w:val="000A7FF2"/>
    <w:rsid w:val="000B1011"/>
    <w:rsid w:val="000B3F62"/>
    <w:rsid w:val="000B4A5B"/>
    <w:rsid w:val="000B55A5"/>
    <w:rsid w:val="000B5E9E"/>
    <w:rsid w:val="000B793D"/>
    <w:rsid w:val="000C022D"/>
    <w:rsid w:val="000C1333"/>
    <w:rsid w:val="000C2435"/>
    <w:rsid w:val="000C3DBE"/>
    <w:rsid w:val="000C5CF6"/>
    <w:rsid w:val="000C614A"/>
    <w:rsid w:val="000C6607"/>
    <w:rsid w:val="000C753E"/>
    <w:rsid w:val="000D0C12"/>
    <w:rsid w:val="000D3A55"/>
    <w:rsid w:val="000D3CF9"/>
    <w:rsid w:val="000D41AB"/>
    <w:rsid w:val="000D46A1"/>
    <w:rsid w:val="000D611D"/>
    <w:rsid w:val="000E0AB5"/>
    <w:rsid w:val="000E4D1D"/>
    <w:rsid w:val="000E5DF3"/>
    <w:rsid w:val="000E61C3"/>
    <w:rsid w:val="000E6C28"/>
    <w:rsid w:val="000E7A03"/>
    <w:rsid w:val="000F0A33"/>
    <w:rsid w:val="000F0EBB"/>
    <w:rsid w:val="000F141F"/>
    <w:rsid w:val="000F28A3"/>
    <w:rsid w:val="000F6037"/>
    <w:rsid w:val="00100775"/>
    <w:rsid w:val="001025AF"/>
    <w:rsid w:val="00103C57"/>
    <w:rsid w:val="00104019"/>
    <w:rsid w:val="00105B59"/>
    <w:rsid w:val="00106158"/>
    <w:rsid w:val="00110097"/>
    <w:rsid w:val="00110300"/>
    <w:rsid w:val="001107F8"/>
    <w:rsid w:val="0011378E"/>
    <w:rsid w:val="001146CE"/>
    <w:rsid w:val="001149C8"/>
    <w:rsid w:val="00114A6B"/>
    <w:rsid w:val="0011502C"/>
    <w:rsid w:val="00116A4F"/>
    <w:rsid w:val="00117A7D"/>
    <w:rsid w:val="001217E9"/>
    <w:rsid w:val="00121FD1"/>
    <w:rsid w:val="001235B9"/>
    <w:rsid w:val="00123AF3"/>
    <w:rsid w:val="0012442C"/>
    <w:rsid w:val="00126C6C"/>
    <w:rsid w:val="0013076C"/>
    <w:rsid w:val="0013294A"/>
    <w:rsid w:val="00133333"/>
    <w:rsid w:val="00133655"/>
    <w:rsid w:val="0013502B"/>
    <w:rsid w:val="001356CA"/>
    <w:rsid w:val="00135811"/>
    <w:rsid w:val="0013581A"/>
    <w:rsid w:val="00135E28"/>
    <w:rsid w:val="00136CA3"/>
    <w:rsid w:val="00137120"/>
    <w:rsid w:val="00137A40"/>
    <w:rsid w:val="00140F6E"/>
    <w:rsid w:val="00142447"/>
    <w:rsid w:val="00142F04"/>
    <w:rsid w:val="00145FD3"/>
    <w:rsid w:val="001474AA"/>
    <w:rsid w:val="001515C3"/>
    <w:rsid w:val="00151D1C"/>
    <w:rsid w:val="00152157"/>
    <w:rsid w:val="0015612C"/>
    <w:rsid w:val="00157D36"/>
    <w:rsid w:val="00160F00"/>
    <w:rsid w:val="00162238"/>
    <w:rsid w:val="00162742"/>
    <w:rsid w:val="00162763"/>
    <w:rsid w:val="00164FC7"/>
    <w:rsid w:val="00170593"/>
    <w:rsid w:val="00170C0B"/>
    <w:rsid w:val="001715E7"/>
    <w:rsid w:val="00172E03"/>
    <w:rsid w:val="001751DC"/>
    <w:rsid w:val="001754A9"/>
    <w:rsid w:val="001766B2"/>
    <w:rsid w:val="001817E7"/>
    <w:rsid w:val="0018632E"/>
    <w:rsid w:val="00186663"/>
    <w:rsid w:val="001878FE"/>
    <w:rsid w:val="00192590"/>
    <w:rsid w:val="0019285B"/>
    <w:rsid w:val="00192BDE"/>
    <w:rsid w:val="001948DD"/>
    <w:rsid w:val="00194967"/>
    <w:rsid w:val="001A05B3"/>
    <w:rsid w:val="001A360D"/>
    <w:rsid w:val="001A3BC0"/>
    <w:rsid w:val="001A636D"/>
    <w:rsid w:val="001A6D0D"/>
    <w:rsid w:val="001B1926"/>
    <w:rsid w:val="001B2417"/>
    <w:rsid w:val="001B3907"/>
    <w:rsid w:val="001B7575"/>
    <w:rsid w:val="001C0A3F"/>
    <w:rsid w:val="001C0F5E"/>
    <w:rsid w:val="001C4522"/>
    <w:rsid w:val="001C48D9"/>
    <w:rsid w:val="001C5A31"/>
    <w:rsid w:val="001C60C4"/>
    <w:rsid w:val="001D05F8"/>
    <w:rsid w:val="001D06C2"/>
    <w:rsid w:val="001D1FDC"/>
    <w:rsid w:val="001D38CE"/>
    <w:rsid w:val="001D4D77"/>
    <w:rsid w:val="001D6A0A"/>
    <w:rsid w:val="001D6D73"/>
    <w:rsid w:val="001E24DE"/>
    <w:rsid w:val="001E3000"/>
    <w:rsid w:val="001E3AC0"/>
    <w:rsid w:val="001E3F9F"/>
    <w:rsid w:val="001E6ABA"/>
    <w:rsid w:val="001E6F0E"/>
    <w:rsid w:val="001E7547"/>
    <w:rsid w:val="001E7DD7"/>
    <w:rsid w:val="001F08D4"/>
    <w:rsid w:val="001F093F"/>
    <w:rsid w:val="001F2316"/>
    <w:rsid w:val="001F2975"/>
    <w:rsid w:val="001F3467"/>
    <w:rsid w:val="001F3F64"/>
    <w:rsid w:val="001F415B"/>
    <w:rsid w:val="001F575D"/>
    <w:rsid w:val="0020026B"/>
    <w:rsid w:val="002029A1"/>
    <w:rsid w:val="00203322"/>
    <w:rsid w:val="00203C8C"/>
    <w:rsid w:val="00205B30"/>
    <w:rsid w:val="0021093A"/>
    <w:rsid w:val="00210D6D"/>
    <w:rsid w:val="00211998"/>
    <w:rsid w:val="00211D4B"/>
    <w:rsid w:val="00212538"/>
    <w:rsid w:val="00216D22"/>
    <w:rsid w:val="002200D5"/>
    <w:rsid w:val="002210AB"/>
    <w:rsid w:val="00222D46"/>
    <w:rsid w:val="00227D69"/>
    <w:rsid w:val="00231174"/>
    <w:rsid w:val="002319D4"/>
    <w:rsid w:val="00231CA2"/>
    <w:rsid w:val="00232076"/>
    <w:rsid w:val="00236767"/>
    <w:rsid w:val="0024049F"/>
    <w:rsid w:val="00240960"/>
    <w:rsid w:val="00240AC6"/>
    <w:rsid w:val="002415B3"/>
    <w:rsid w:val="00243F85"/>
    <w:rsid w:val="002509A0"/>
    <w:rsid w:val="00252A62"/>
    <w:rsid w:val="00252C01"/>
    <w:rsid w:val="00252CE8"/>
    <w:rsid w:val="00252F09"/>
    <w:rsid w:val="00253325"/>
    <w:rsid w:val="0025410A"/>
    <w:rsid w:val="00254D32"/>
    <w:rsid w:val="0026076E"/>
    <w:rsid w:val="00260AA4"/>
    <w:rsid w:val="0026213C"/>
    <w:rsid w:val="00262D1B"/>
    <w:rsid w:val="00264220"/>
    <w:rsid w:val="0027215B"/>
    <w:rsid w:val="00274541"/>
    <w:rsid w:val="00276A54"/>
    <w:rsid w:val="00281240"/>
    <w:rsid w:val="002830CF"/>
    <w:rsid w:val="00283900"/>
    <w:rsid w:val="00283D1E"/>
    <w:rsid w:val="0029130E"/>
    <w:rsid w:val="002918AB"/>
    <w:rsid w:val="00291EDB"/>
    <w:rsid w:val="00294F15"/>
    <w:rsid w:val="002954B8"/>
    <w:rsid w:val="00296088"/>
    <w:rsid w:val="0029662B"/>
    <w:rsid w:val="002A0254"/>
    <w:rsid w:val="002A1695"/>
    <w:rsid w:val="002A30FC"/>
    <w:rsid w:val="002A3997"/>
    <w:rsid w:val="002A5623"/>
    <w:rsid w:val="002B1A83"/>
    <w:rsid w:val="002B2261"/>
    <w:rsid w:val="002B2E4B"/>
    <w:rsid w:val="002B3C6B"/>
    <w:rsid w:val="002B506D"/>
    <w:rsid w:val="002B5148"/>
    <w:rsid w:val="002B70F1"/>
    <w:rsid w:val="002B7911"/>
    <w:rsid w:val="002C0141"/>
    <w:rsid w:val="002C0CDF"/>
    <w:rsid w:val="002C1EA5"/>
    <w:rsid w:val="002C25F7"/>
    <w:rsid w:val="002C2B8B"/>
    <w:rsid w:val="002C3DDF"/>
    <w:rsid w:val="002C3EE5"/>
    <w:rsid w:val="002C5DDF"/>
    <w:rsid w:val="002C675D"/>
    <w:rsid w:val="002C6FB8"/>
    <w:rsid w:val="002C7269"/>
    <w:rsid w:val="002C78FF"/>
    <w:rsid w:val="002D07B2"/>
    <w:rsid w:val="002D08C4"/>
    <w:rsid w:val="002D3131"/>
    <w:rsid w:val="002D37F0"/>
    <w:rsid w:val="002D3861"/>
    <w:rsid w:val="002D5D7B"/>
    <w:rsid w:val="002D6073"/>
    <w:rsid w:val="002D69C0"/>
    <w:rsid w:val="002E1C74"/>
    <w:rsid w:val="002E29EB"/>
    <w:rsid w:val="002E4AE1"/>
    <w:rsid w:val="002E6600"/>
    <w:rsid w:val="002F0545"/>
    <w:rsid w:val="002F1463"/>
    <w:rsid w:val="002F1861"/>
    <w:rsid w:val="002F39BA"/>
    <w:rsid w:val="002F5159"/>
    <w:rsid w:val="002F57F9"/>
    <w:rsid w:val="002F6BF9"/>
    <w:rsid w:val="00301194"/>
    <w:rsid w:val="00301CCE"/>
    <w:rsid w:val="00302C3C"/>
    <w:rsid w:val="00302CA2"/>
    <w:rsid w:val="003043A5"/>
    <w:rsid w:val="00307FDE"/>
    <w:rsid w:val="00310BAE"/>
    <w:rsid w:val="00311F04"/>
    <w:rsid w:val="00312A6F"/>
    <w:rsid w:val="00312F5A"/>
    <w:rsid w:val="003134E6"/>
    <w:rsid w:val="00313D64"/>
    <w:rsid w:val="00313DC1"/>
    <w:rsid w:val="003143E8"/>
    <w:rsid w:val="00317B22"/>
    <w:rsid w:val="00320E2F"/>
    <w:rsid w:val="00322FD5"/>
    <w:rsid w:val="003235A7"/>
    <w:rsid w:val="0032371E"/>
    <w:rsid w:val="003240D0"/>
    <w:rsid w:val="00324D42"/>
    <w:rsid w:val="0032714A"/>
    <w:rsid w:val="00327ECF"/>
    <w:rsid w:val="00330246"/>
    <w:rsid w:val="00330C0F"/>
    <w:rsid w:val="00330E80"/>
    <w:rsid w:val="00331E5A"/>
    <w:rsid w:val="003320D0"/>
    <w:rsid w:val="0033363C"/>
    <w:rsid w:val="00343FD7"/>
    <w:rsid w:val="0034415F"/>
    <w:rsid w:val="00344644"/>
    <w:rsid w:val="00344C38"/>
    <w:rsid w:val="00345650"/>
    <w:rsid w:val="0035456D"/>
    <w:rsid w:val="003567B4"/>
    <w:rsid w:val="00356AF6"/>
    <w:rsid w:val="00357B1F"/>
    <w:rsid w:val="00360D6C"/>
    <w:rsid w:val="003622A1"/>
    <w:rsid w:val="00362F31"/>
    <w:rsid w:val="00367DED"/>
    <w:rsid w:val="0037157C"/>
    <w:rsid w:val="003719C1"/>
    <w:rsid w:val="00373276"/>
    <w:rsid w:val="00373E6C"/>
    <w:rsid w:val="003757D4"/>
    <w:rsid w:val="003775EA"/>
    <w:rsid w:val="003824EE"/>
    <w:rsid w:val="003830F8"/>
    <w:rsid w:val="00383EC1"/>
    <w:rsid w:val="003845E4"/>
    <w:rsid w:val="00384C2F"/>
    <w:rsid w:val="0039070D"/>
    <w:rsid w:val="00390DF1"/>
    <w:rsid w:val="003942D8"/>
    <w:rsid w:val="00395E6E"/>
    <w:rsid w:val="00397871"/>
    <w:rsid w:val="003A0BCD"/>
    <w:rsid w:val="003A1FFC"/>
    <w:rsid w:val="003A23BE"/>
    <w:rsid w:val="003A2B00"/>
    <w:rsid w:val="003A2BA1"/>
    <w:rsid w:val="003A37E2"/>
    <w:rsid w:val="003A3F97"/>
    <w:rsid w:val="003A5837"/>
    <w:rsid w:val="003A686A"/>
    <w:rsid w:val="003A7420"/>
    <w:rsid w:val="003B0896"/>
    <w:rsid w:val="003B1B1F"/>
    <w:rsid w:val="003B28C9"/>
    <w:rsid w:val="003B408E"/>
    <w:rsid w:val="003B56F7"/>
    <w:rsid w:val="003B7B53"/>
    <w:rsid w:val="003C1FF6"/>
    <w:rsid w:val="003C279A"/>
    <w:rsid w:val="003C37D5"/>
    <w:rsid w:val="003C3E40"/>
    <w:rsid w:val="003C3ED3"/>
    <w:rsid w:val="003C4F0C"/>
    <w:rsid w:val="003C7612"/>
    <w:rsid w:val="003D0692"/>
    <w:rsid w:val="003D23FE"/>
    <w:rsid w:val="003D289D"/>
    <w:rsid w:val="003D48D4"/>
    <w:rsid w:val="003D4CAC"/>
    <w:rsid w:val="003D508E"/>
    <w:rsid w:val="003E253C"/>
    <w:rsid w:val="003E2BF8"/>
    <w:rsid w:val="003E3E5A"/>
    <w:rsid w:val="003E4B0B"/>
    <w:rsid w:val="003E5343"/>
    <w:rsid w:val="003E5C5C"/>
    <w:rsid w:val="003E61D4"/>
    <w:rsid w:val="003E65CC"/>
    <w:rsid w:val="003F01FA"/>
    <w:rsid w:val="003F13A3"/>
    <w:rsid w:val="003F40BE"/>
    <w:rsid w:val="003F4EEC"/>
    <w:rsid w:val="003F566B"/>
    <w:rsid w:val="003F7D4A"/>
    <w:rsid w:val="004016F2"/>
    <w:rsid w:val="0040206F"/>
    <w:rsid w:val="0040218F"/>
    <w:rsid w:val="00402301"/>
    <w:rsid w:val="00402503"/>
    <w:rsid w:val="00404A6B"/>
    <w:rsid w:val="004063D9"/>
    <w:rsid w:val="00407D62"/>
    <w:rsid w:val="00410D11"/>
    <w:rsid w:val="00416527"/>
    <w:rsid w:val="00417F4F"/>
    <w:rsid w:val="00420AE8"/>
    <w:rsid w:val="00423189"/>
    <w:rsid w:val="00423659"/>
    <w:rsid w:val="00424613"/>
    <w:rsid w:val="00427A7E"/>
    <w:rsid w:val="00427B08"/>
    <w:rsid w:val="00430387"/>
    <w:rsid w:val="004309D0"/>
    <w:rsid w:val="00431916"/>
    <w:rsid w:val="00431C10"/>
    <w:rsid w:val="0043324B"/>
    <w:rsid w:val="00433CE0"/>
    <w:rsid w:val="004341F6"/>
    <w:rsid w:val="004349F7"/>
    <w:rsid w:val="0043502A"/>
    <w:rsid w:val="00435F73"/>
    <w:rsid w:val="004379C3"/>
    <w:rsid w:val="004404A0"/>
    <w:rsid w:val="0044163B"/>
    <w:rsid w:val="00442059"/>
    <w:rsid w:val="00442601"/>
    <w:rsid w:val="004427CD"/>
    <w:rsid w:val="00442DEB"/>
    <w:rsid w:val="004430C8"/>
    <w:rsid w:val="004446E8"/>
    <w:rsid w:val="0044689E"/>
    <w:rsid w:val="00447414"/>
    <w:rsid w:val="00451F50"/>
    <w:rsid w:val="004528E1"/>
    <w:rsid w:val="00452A72"/>
    <w:rsid w:val="004535F6"/>
    <w:rsid w:val="00453642"/>
    <w:rsid w:val="004576BA"/>
    <w:rsid w:val="0046186A"/>
    <w:rsid w:val="00462826"/>
    <w:rsid w:val="00462B34"/>
    <w:rsid w:val="00463CE1"/>
    <w:rsid w:val="00464590"/>
    <w:rsid w:val="004651C1"/>
    <w:rsid w:val="00465232"/>
    <w:rsid w:val="00466181"/>
    <w:rsid w:val="00471763"/>
    <w:rsid w:val="00471D54"/>
    <w:rsid w:val="0047250F"/>
    <w:rsid w:val="004733C6"/>
    <w:rsid w:val="00473851"/>
    <w:rsid w:val="00474A12"/>
    <w:rsid w:val="00474A18"/>
    <w:rsid w:val="00474C61"/>
    <w:rsid w:val="004771C0"/>
    <w:rsid w:val="00482576"/>
    <w:rsid w:val="004836CC"/>
    <w:rsid w:val="00485874"/>
    <w:rsid w:val="00486DE2"/>
    <w:rsid w:val="00487E52"/>
    <w:rsid w:val="00487F76"/>
    <w:rsid w:val="00491C33"/>
    <w:rsid w:val="00492E2D"/>
    <w:rsid w:val="00493E8E"/>
    <w:rsid w:val="00493F56"/>
    <w:rsid w:val="004972FF"/>
    <w:rsid w:val="004978F7"/>
    <w:rsid w:val="004A10F5"/>
    <w:rsid w:val="004A1861"/>
    <w:rsid w:val="004A3134"/>
    <w:rsid w:val="004A377F"/>
    <w:rsid w:val="004A3EAF"/>
    <w:rsid w:val="004A459C"/>
    <w:rsid w:val="004A7ECA"/>
    <w:rsid w:val="004B3C7E"/>
    <w:rsid w:val="004B6272"/>
    <w:rsid w:val="004B6E58"/>
    <w:rsid w:val="004C0794"/>
    <w:rsid w:val="004C1798"/>
    <w:rsid w:val="004C37C3"/>
    <w:rsid w:val="004C3AFD"/>
    <w:rsid w:val="004C667C"/>
    <w:rsid w:val="004C6BA9"/>
    <w:rsid w:val="004C716D"/>
    <w:rsid w:val="004D1567"/>
    <w:rsid w:val="004D2A37"/>
    <w:rsid w:val="004D399F"/>
    <w:rsid w:val="004D3B11"/>
    <w:rsid w:val="004D5683"/>
    <w:rsid w:val="004D66EB"/>
    <w:rsid w:val="004E14A7"/>
    <w:rsid w:val="004E152A"/>
    <w:rsid w:val="004E41C9"/>
    <w:rsid w:val="004E626A"/>
    <w:rsid w:val="004F27F3"/>
    <w:rsid w:val="004F3E0D"/>
    <w:rsid w:val="004F4D46"/>
    <w:rsid w:val="00500B48"/>
    <w:rsid w:val="00501794"/>
    <w:rsid w:val="005018AC"/>
    <w:rsid w:val="00503353"/>
    <w:rsid w:val="00503D1E"/>
    <w:rsid w:val="005051B6"/>
    <w:rsid w:val="00505A31"/>
    <w:rsid w:val="005068A6"/>
    <w:rsid w:val="00510030"/>
    <w:rsid w:val="0051207C"/>
    <w:rsid w:val="00514924"/>
    <w:rsid w:val="0051591D"/>
    <w:rsid w:val="00515D8A"/>
    <w:rsid w:val="005168A7"/>
    <w:rsid w:val="005176CE"/>
    <w:rsid w:val="005176DC"/>
    <w:rsid w:val="00522C0D"/>
    <w:rsid w:val="00523645"/>
    <w:rsid w:val="00524071"/>
    <w:rsid w:val="00524378"/>
    <w:rsid w:val="00524AE3"/>
    <w:rsid w:val="00525A9C"/>
    <w:rsid w:val="0052736F"/>
    <w:rsid w:val="00530B73"/>
    <w:rsid w:val="00530BF0"/>
    <w:rsid w:val="005311C8"/>
    <w:rsid w:val="0053254C"/>
    <w:rsid w:val="00533C13"/>
    <w:rsid w:val="00534518"/>
    <w:rsid w:val="005350C3"/>
    <w:rsid w:val="005359DA"/>
    <w:rsid w:val="00535AAA"/>
    <w:rsid w:val="00535E30"/>
    <w:rsid w:val="0053712C"/>
    <w:rsid w:val="00537524"/>
    <w:rsid w:val="00537674"/>
    <w:rsid w:val="00541421"/>
    <w:rsid w:val="0054517A"/>
    <w:rsid w:val="00545D80"/>
    <w:rsid w:val="00547916"/>
    <w:rsid w:val="00547BCE"/>
    <w:rsid w:val="005505DF"/>
    <w:rsid w:val="005516FA"/>
    <w:rsid w:val="005542C7"/>
    <w:rsid w:val="00554305"/>
    <w:rsid w:val="00554CA5"/>
    <w:rsid w:val="005560A0"/>
    <w:rsid w:val="00557DDC"/>
    <w:rsid w:val="005600E5"/>
    <w:rsid w:val="00561717"/>
    <w:rsid w:val="00563B53"/>
    <w:rsid w:val="0056442A"/>
    <w:rsid w:val="00564895"/>
    <w:rsid w:val="00566F47"/>
    <w:rsid w:val="00570F42"/>
    <w:rsid w:val="005728A6"/>
    <w:rsid w:val="00573765"/>
    <w:rsid w:val="00574645"/>
    <w:rsid w:val="00580B03"/>
    <w:rsid w:val="00580D8D"/>
    <w:rsid w:val="0058194D"/>
    <w:rsid w:val="00582804"/>
    <w:rsid w:val="00582CDA"/>
    <w:rsid w:val="00583BBF"/>
    <w:rsid w:val="00585147"/>
    <w:rsid w:val="00587C1D"/>
    <w:rsid w:val="0059039D"/>
    <w:rsid w:val="005912E9"/>
    <w:rsid w:val="0059185F"/>
    <w:rsid w:val="00593B5E"/>
    <w:rsid w:val="00595183"/>
    <w:rsid w:val="00595242"/>
    <w:rsid w:val="00595582"/>
    <w:rsid w:val="005A16BF"/>
    <w:rsid w:val="005A173D"/>
    <w:rsid w:val="005A19B0"/>
    <w:rsid w:val="005A375C"/>
    <w:rsid w:val="005A444C"/>
    <w:rsid w:val="005A5551"/>
    <w:rsid w:val="005A7171"/>
    <w:rsid w:val="005B07FC"/>
    <w:rsid w:val="005B146B"/>
    <w:rsid w:val="005B5299"/>
    <w:rsid w:val="005B569B"/>
    <w:rsid w:val="005B61DF"/>
    <w:rsid w:val="005B6E1D"/>
    <w:rsid w:val="005B74AB"/>
    <w:rsid w:val="005C35AF"/>
    <w:rsid w:val="005C710E"/>
    <w:rsid w:val="005D0406"/>
    <w:rsid w:val="005D1782"/>
    <w:rsid w:val="005D4415"/>
    <w:rsid w:val="005D6405"/>
    <w:rsid w:val="005D67BC"/>
    <w:rsid w:val="005E05F4"/>
    <w:rsid w:val="005E5C6B"/>
    <w:rsid w:val="005E7EC8"/>
    <w:rsid w:val="005E7FCA"/>
    <w:rsid w:val="005F065B"/>
    <w:rsid w:val="005F167B"/>
    <w:rsid w:val="005F346B"/>
    <w:rsid w:val="006000D8"/>
    <w:rsid w:val="00602243"/>
    <w:rsid w:val="006037CF"/>
    <w:rsid w:val="00603F4F"/>
    <w:rsid w:val="00603FF3"/>
    <w:rsid w:val="006042EF"/>
    <w:rsid w:val="006065CC"/>
    <w:rsid w:val="00606C63"/>
    <w:rsid w:val="006078BB"/>
    <w:rsid w:val="00611396"/>
    <w:rsid w:val="00614E1D"/>
    <w:rsid w:val="00615F22"/>
    <w:rsid w:val="00615FFC"/>
    <w:rsid w:val="006168D3"/>
    <w:rsid w:val="0062343D"/>
    <w:rsid w:val="00625E20"/>
    <w:rsid w:val="00626232"/>
    <w:rsid w:val="0063049A"/>
    <w:rsid w:val="006305BC"/>
    <w:rsid w:val="00630AE6"/>
    <w:rsid w:val="00634C98"/>
    <w:rsid w:val="00635C1C"/>
    <w:rsid w:val="0063663D"/>
    <w:rsid w:val="0063798D"/>
    <w:rsid w:val="00640593"/>
    <w:rsid w:val="0064080D"/>
    <w:rsid w:val="006412AD"/>
    <w:rsid w:val="00644773"/>
    <w:rsid w:val="006505A3"/>
    <w:rsid w:val="00650D8B"/>
    <w:rsid w:val="00652166"/>
    <w:rsid w:val="00653F3A"/>
    <w:rsid w:val="00654B8E"/>
    <w:rsid w:val="00654D34"/>
    <w:rsid w:val="0065527E"/>
    <w:rsid w:val="00655402"/>
    <w:rsid w:val="00657F19"/>
    <w:rsid w:val="006611A0"/>
    <w:rsid w:val="0066148B"/>
    <w:rsid w:val="006657A1"/>
    <w:rsid w:val="00665863"/>
    <w:rsid w:val="00672A2A"/>
    <w:rsid w:val="00672CFD"/>
    <w:rsid w:val="00674F65"/>
    <w:rsid w:val="00675942"/>
    <w:rsid w:val="0067778E"/>
    <w:rsid w:val="0068175D"/>
    <w:rsid w:val="00681CF4"/>
    <w:rsid w:val="00684030"/>
    <w:rsid w:val="006848E0"/>
    <w:rsid w:val="00684B52"/>
    <w:rsid w:val="00686369"/>
    <w:rsid w:val="00691020"/>
    <w:rsid w:val="00695D06"/>
    <w:rsid w:val="00697E35"/>
    <w:rsid w:val="006A255D"/>
    <w:rsid w:val="006A2979"/>
    <w:rsid w:val="006A5CDF"/>
    <w:rsid w:val="006A6018"/>
    <w:rsid w:val="006A6BED"/>
    <w:rsid w:val="006B0F53"/>
    <w:rsid w:val="006B1EE1"/>
    <w:rsid w:val="006B3389"/>
    <w:rsid w:val="006B4F21"/>
    <w:rsid w:val="006B53D4"/>
    <w:rsid w:val="006B595C"/>
    <w:rsid w:val="006B7034"/>
    <w:rsid w:val="006C0C30"/>
    <w:rsid w:val="006C372E"/>
    <w:rsid w:val="006C5501"/>
    <w:rsid w:val="006C58A8"/>
    <w:rsid w:val="006C7F60"/>
    <w:rsid w:val="006D0E66"/>
    <w:rsid w:val="006D11B5"/>
    <w:rsid w:val="006D12F2"/>
    <w:rsid w:val="006D12F3"/>
    <w:rsid w:val="006D1580"/>
    <w:rsid w:val="006D19B2"/>
    <w:rsid w:val="006D1C3B"/>
    <w:rsid w:val="006D2182"/>
    <w:rsid w:val="006D3B6A"/>
    <w:rsid w:val="006D6C62"/>
    <w:rsid w:val="006D7852"/>
    <w:rsid w:val="006E0EB0"/>
    <w:rsid w:val="006E13A0"/>
    <w:rsid w:val="006E190E"/>
    <w:rsid w:val="006E3311"/>
    <w:rsid w:val="006E74ED"/>
    <w:rsid w:val="006E76AA"/>
    <w:rsid w:val="006F1346"/>
    <w:rsid w:val="006F15FB"/>
    <w:rsid w:val="006F1FFB"/>
    <w:rsid w:val="006F384A"/>
    <w:rsid w:val="006F413E"/>
    <w:rsid w:val="006F4B5A"/>
    <w:rsid w:val="006F50FA"/>
    <w:rsid w:val="006F5836"/>
    <w:rsid w:val="006F724C"/>
    <w:rsid w:val="006F77B5"/>
    <w:rsid w:val="00701C14"/>
    <w:rsid w:val="00701E8C"/>
    <w:rsid w:val="007022C0"/>
    <w:rsid w:val="00703532"/>
    <w:rsid w:val="00703A3D"/>
    <w:rsid w:val="0071053D"/>
    <w:rsid w:val="00713A90"/>
    <w:rsid w:val="00714643"/>
    <w:rsid w:val="0071541F"/>
    <w:rsid w:val="00715D72"/>
    <w:rsid w:val="007161EB"/>
    <w:rsid w:val="007162F2"/>
    <w:rsid w:val="00716EA6"/>
    <w:rsid w:val="0071733C"/>
    <w:rsid w:val="007203C5"/>
    <w:rsid w:val="00721281"/>
    <w:rsid w:val="00722C5F"/>
    <w:rsid w:val="00723C28"/>
    <w:rsid w:val="0072409E"/>
    <w:rsid w:val="00724671"/>
    <w:rsid w:val="007254A9"/>
    <w:rsid w:val="00726CC9"/>
    <w:rsid w:val="007275E5"/>
    <w:rsid w:val="00732579"/>
    <w:rsid w:val="007347E3"/>
    <w:rsid w:val="00736353"/>
    <w:rsid w:val="00736CE4"/>
    <w:rsid w:val="0074046D"/>
    <w:rsid w:val="0074371A"/>
    <w:rsid w:val="00744689"/>
    <w:rsid w:val="00744F1A"/>
    <w:rsid w:val="00744F75"/>
    <w:rsid w:val="007451B4"/>
    <w:rsid w:val="00745AE4"/>
    <w:rsid w:val="00746DCE"/>
    <w:rsid w:val="007502B5"/>
    <w:rsid w:val="00752221"/>
    <w:rsid w:val="00754564"/>
    <w:rsid w:val="00754FE5"/>
    <w:rsid w:val="007550F4"/>
    <w:rsid w:val="00755935"/>
    <w:rsid w:val="007578B6"/>
    <w:rsid w:val="00757E52"/>
    <w:rsid w:val="00760554"/>
    <w:rsid w:val="00760AE5"/>
    <w:rsid w:val="007616E4"/>
    <w:rsid w:val="00763841"/>
    <w:rsid w:val="0076628F"/>
    <w:rsid w:val="0076694D"/>
    <w:rsid w:val="00766D31"/>
    <w:rsid w:val="0076758B"/>
    <w:rsid w:val="007706FD"/>
    <w:rsid w:val="00774D23"/>
    <w:rsid w:val="00774F52"/>
    <w:rsid w:val="00777533"/>
    <w:rsid w:val="007777CD"/>
    <w:rsid w:val="007805AD"/>
    <w:rsid w:val="007823B5"/>
    <w:rsid w:val="007847F4"/>
    <w:rsid w:val="00786AA5"/>
    <w:rsid w:val="007871DA"/>
    <w:rsid w:val="00790B79"/>
    <w:rsid w:val="00795033"/>
    <w:rsid w:val="007963C7"/>
    <w:rsid w:val="007A0938"/>
    <w:rsid w:val="007A0BDF"/>
    <w:rsid w:val="007A1C3D"/>
    <w:rsid w:val="007A1D90"/>
    <w:rsid w:val="007A204B"/>
    <w:rsid w:val="007A2C3B"/>
    <w:rsid w:val="007A4054"/>
    <w:rsid w:val="007A701B"/>
    <w:rsid w:val="007A7C9C"/>
    <w:rsid w:val="007B00B7"/>
    <w:rsid w:val="007B236F"/>
    <w:rsid w:val="007B26BE"/>
    <w:rsid w:val="007B283C"/>
    <w:rsid w:val="007B323D"/>
    <w:rsid w:val="007B3872"/>
    <w:rsid w:val="007B3D7C"/>
    <w:rsid w:val="007B4FD6"/>
    <w:rsid w:val="007B539F"/>
    <w:rsid w:val="007B664E"/>
    <w:rsid w:val="007C08FB"/>
    <w:rsid w:val="007C2BC8"/>
    <w:rsid w:val="007C423A"/>
    <w:rsid w:val="007D1108"/>
    <w:rsid w:val="007D1889"/>
    <w:rsid w:val="007D194B"/>
    <w:rsid w:val="007D2423"/>
    <w:rsid w:val="007D3277"/>
    <w:rsid w:val="007D3EC6"/>
    <w:rsid w:val="007D4283"/>
    <w:rsid w:val="007E1BD8"/>
    <w:rsid w:val="007E3633"/>
    <w:rsid w:val="007E5408"/>
    <w:rsid w:val="007E6994"/>
    <w:rsid w:val="007E7287"/>
    <w:rsid w:val="007F10B3"/>
    <w:rsid w:val="007F36A9"/>
    <w:rsid w:val="007F5335"/>
    <w:rsid w:val="007F58A9"/>
    <w:rsid w:val="007F7ABD"/>
    <w:rsid w:val="00800D9D"/>
    <w:rsid w:val="00803324"/>
    <w:rsid w:val="008048EB"/>
    <w:rsid w:val="00804C26"/>
    <w:rsid w:val="0081125C"/>
    <w:rsid w:val="00815025"/>
    <w:rsid w:val="008151EA"/>
    <w:rsid w:val="00817E9D"/>
    <w:rsid w:val="0082152D"/>
    <w:rsid w:val="00822CC2"/>
    <w:rsid w:val="00823242"/>
    <w:rsid w:val="0082490C"/>
    <w:rsid w:val="00826BD5"/>
    <w:rsid w:val="00827D2E"/>
    <w:rsid w:val="00831635"/>
    <w:rsid w:val="00831BA5"/>
    <w:rsid w:val="00834F7D"/>
    <w:rsid w:val="0083784D"/>
    <w:rsid w:val="00842863"/>
    <w:rsid w:val="00844E6F"/>
    <w:rsid w:val="00845A1A"/>
    <w:rsid w:val="00845A8D"/>
    <w:rsid w:val="00846303"/>
    <w:rsid w:val="008479B7"/>
    <w:rsid w:val="008514A3"/>
    <w:rsid w:val="008516DE"/>
    <w:rsid w:val="00852117"/>
    <w:rsid w:val="008528F4"/>
    <w:rsid w:val="00852964"/>
    <w:rsid w:val="00853C36"/>
    <w:rsid w:val="008546AE"/>
    <w:rsid w:val="00856AA9"/>
    <w:rsid w:val="00857A9B"/>
    <w:rsid w:val="0086104A"/>
    <w:rsid w:val="008613DB"/>
    <w:rsid w:val="008614EA"/>
    <w:rsid w:val="0086173A"/>
    <w:rsid w:val="00861AE8"/>
    <w:rsid w:val="00862625"/>
    <w:rsid w:val="008629E4"/>
    <w:rsid w:val="00865004"/>
    <w:rsid w:val="008661C9"/>
    <w:rsid w:val="008670B2"/>
    <w:rsid w:val="00870E8F"/>
    <w:rsid w:val="00872635"/>
    <w:rsid w:val="00872FD5"/>
    <w:rsid w:val="008747C0"/>
    <w:rsid w:val="00874859"/>
    <w:rsid w:val="00880854"/>
    <w:rsid w:val="00881DB8"/>
    <w:rsid w:val="00882833"/>
    <w:rsid w:val="00883FEE"/>
    <w:rsid w:val="00886A57"/>
    <w:rsid w:val="008872EB"/>
    <w:rsid w:val="00890CF6"/>
    <w:rsid w:val="00890D6F"/>
    <w:rsid w:val="0089108B"/>
    <w:rsid w:val="0089429D"/>
    <w:rsid w:val="008953DE"/>
    <w:rsid w:val="0089565E"/>
    <w:rsid w:val="00895DDA"/>
    <w:rsid w:val="00896C06"/>
    <w:rsid w:val="00897CFB"/>
    <w:rsid w:val="008A017A"/>
    <w:rsid w:val="008A0B1A"/>
    <w:rsid w:val="008A0B5B"/>
    <w:rsid w:val="008A3650"/>
    <w:rsid w:val="008A39F7"/>
    <w:rsid w:val="008A3D07"/>
    <w:rsid w:val="008A453A"/>
    <w:rsid w:val="008A4E6A"/>
    <w:rsid w:val="008A5F0A"/>
    <w:rsid w:val="008B1868"/>
    <w:rsid w:val="008B2640"/>
    <w:rsid w:val="008B2A3D"/>
    <w:rsid w:val="008B2C28"/>
    <w:rsid w:val="008B2D50"/>
    <w:rsid w:val="008B31E1"/>
    <w:rsid w:val="008B338F"/>
    <w:rsid w:val="008B3760"/>
    <w:rsid w:val="008B6234"/>
    <w:rsid w:val="008B6604"/>
    <w:rsid w:val="008B6D9B"/>
    <w:rsid w:val="008B7A9F"/>
    <w:rsid w:val="008C32ED"/>
    <w:rsid w:val="008C46C2"/>
    <w:rsid w:val="008C5200"/>
    <w:rsid w:val="008C6E3A"/>
    <w:rsid w:val="008C7C19"/>
    <w:rsid w:val="008D0513"/>
    <w:rsid w:val="008D1C7D"/>
    <w:rsid w:val="008D2B48"/>
    <w:rsid w:val="008D33E9"/>
    <w:rsid w:val="008D65A1"/>
    <w:rsid w:val="008D6804"/>
    <w:rsid w:val="008D68BF"/>
    <w:rsid w:val="008D7046"/>
    <w:rsid w:val="008D72D8"/>
    <w:rsid w:val="008D7347"/>
    <w:rsid w:val="008D7B79"/>
    <w:rsid w:val="008E2143"/>
    <w:rsid w:val="008E2D31"/>
    <w:rsid w:val="008E40F9"/>
    <w:rsid w:val="008E5131"/>
    <w:rsid w:val="008E5840"/>
    <w:rsid w:val="008E5CC9"/>
    <w:rsid w:val="008E752A"/>
    <w:rsid w:val="008E7FB0"/>
    <w:rsid w:val="008E7FD6"/>
    <w:rsid w:val="008F15EB"/>
    <w:rsid w:val="008F37F0"/>
    <w:rsid w:val="008F6711"/>
    <w:rsid w:val="008F72AE"/>
    <w:rsid w:val="008F7FC2"/>
    <w:rsid w:val="00901C01"/>
    <w:rsid w:val="00902F39"/>
    <w:rsid w:val="0090302D"/>
    <w:rsid w:val="0090409B"/>
    <w:rsid w:val="00904EB2"/>
    <w:rsid w:val="009075DF"/>
    <w:rsid w:val="00911045"/>
    <w:rsid w:val="00911225"/>
    <w:rsid w:val="009115EC"/>
    <w:rsid w:val="00914414"/>
    <w:rsid w:val="00915113"/>
    <w:rsid w:val="00917415"/>
    <w:rsid w:val="00920CDC"/>
    <w:rsid w:val="00921002"/>
    <w:rsid w:val="00921500"/>
    <w:rsid w:val="00921EA4"/>
    <w:rsid w:val="00921EB8"/>
    <w:rsid w:val="00923C79"/>
    <w:rsid w:val="00923FD8"/>
    <w:rsid w:val="0092402B"/>
    <w:rsid w:val="00930171"/>
    <w:rsid w:val="00930424"/>
    <w:rsid w:val="00930D16"/>
    <w:rsid w:val="009312CE"/>
    <w:rsid w:val="009346E1"/>
    <w:rsid w:val="0093523D"/>
    <w:rsid w:val="00935562"/>
    <w:rsid w:val="00937A3B"/>
    <w:rsid w:val="009409D6"/>
    <w:rsid w:val="00940DF2"/>
    <w:rsid w:val="00940F14"/>
    <w:rsid w:val="00943AA1"/>
    <w:rsid w:val="00944649"/>
    <w:rsid w:val="00946B88"/>
    <w:rsid w:val="009472E2"/>
    <w:rsid w:val="0095276C"/>
    <w:rsid w:val="009532F0"/>
    <w:rsid w:val="009537AD"/>
    <w:rsid w:val="00953FD5"/>
    <w:rsid w:val="00953FDD"/>
    <w:rsid w:val="00956A6A"/>
    <w:rsid w:val="009603AA"/>
    <w:rsid w:val="009619A3"/>
    <w:rsid w:val="00961F1A"/>
    <w:rsid w:val="00961F32"/>
    <w:rsid w:val="00964539"/>
    <w:rsid w:val="009679F5"/>
    <w:rsid w:val="009734DC"/>
    <w:rsid w:val="00974AF7"/>
    <w:rsid w:val="009758C3"/>
    <w:rsid w:val="0097703B"/>
    <w:rsid w:val="00981524"/>
    <w:rsid w:val="0098272E"/>
    <w:rsid w:val="00983C62"/>
    <w:rsid w:val="009847F5"/>
    <w:rsid w:val="00984F3D"/>
    <w:rsid w:val="0098575C"/>
    <w:rsid w:val="00986B9F"/>
    <w:rsid w:val="00990004"/>
    <w:rsid w:val="009901A3"/>
    <w:rsid w:val="00993690"/>
    <w:rsid w:val="0099522E"/>
    <w:rsid w:val="009954B9"/>
    <w:rsid w:val="009961C5"/>
    <w:rsid w:val="00996687"/>
    <w:rsid w:val="009978F9"/>
    <w:rsid w:val="009A0C0D"/>
    <w:rsid w:val="009A0CB1"/>
    <w:rsid w:val="009A2723"/>
    <w:rsid w:val="009A3638"/>
    <w:rsid w:val="009A59A8"/>
    <w:rsid w:val="009A6279"/>
    <w:rsid w:val="009A750E"/>
    <w:rsid w:val="009B225E"/>
    <w:rsid w:val="009B5F7F"/>
    <w:rsid w:val="009B641A"/>
    <w:rsid w:val="009B652D"/>
    <w:rsid w:val="009B7BEB"/>
    <w:rsid w:val="009C36AC"/>
    <w:rsid w:val="009C46D2"/>
    <w:rsid w:val="009C58E9"/>
    <w:rsid w:val="009C659D"/>
    <w:rsid w:val="009C72A2"/>
    <w:rsid w:val="009C79A8"/>
    <w:rsid w:val="009C7D94"/>
    <w:rsid w:val="009D26C6"/>
    <w:rsid w:val="009D29FF"/>
    <w:rsid w:val="009D3DA5"/>
    <w:rsid w:val="009D43F3"/>
    <w:rsid w:val="009D6397"/>
    <w:rsid w:val="009D6B37"/>
    <w:rsid w:val="009D7EA5"/>
    <w:rsid w:val="009E082F"/>
    <w:rsid w:val="009E1066"/>
    <w:rsid w:val="009E158B"/>
    <w:rsid w:val="009E5472"/>
    <w:rsid w:val="009E6005"/>
    <w:rsid w:val="009F104E"/>
    <w:rsid w:val="009F140C"/>
    <w:rsid w:val="009F2047"/>
    <w:rsid w:val="009F2C81"/>
    <w:rsid w:val="009F3375"/>
    <w:rsid w:val="009F435F"/>
    <w:rsid w:val="009F467C"/>
    <w:rsid w:val="009F525C"/>
    <w:rsid w:val="009F5A95"/>
    <w:rsid w:val="009F77CB"/>
    <w:rsid w:val="009F7A4B"/>
    <w:rsid w:val="009F7AD8"/>
    <w:rsid w:val="00A01353"/>
    <w:rsid w:val="00A013F8"/>
    <w:rsid w:val="00A01C93"/>
    <w:rsid w:val="00A02BAD"/>
    <w:rsid w:val="00A0698B"/>
    <w:rsid w:val="00A06E11"/>
    <w:rsid w:val="00A078BD"/>
    <w:rsid w:val="00A117B3"/>
    <w:rsid w:val="00A133E9"/>
    <w:rsid w:val="00A1392A"/>
    <w:rsid w:val="00A13A85"/>
    <w:rsid w:val="00A1441C"/>
    <w:rsid w:val="00A177F7"/>
    <w:rsid w:val="00A207EA"/>
    <w:rsid w:val="00A2157B"/>
    <w:rsid w:val="00A21E7A"/>
    <w:rsid w:val="00A22A6C"/>
    <w:rsid w:val="00A2515D"/>
    <w:rsid w:val="00A30777"/>
    <w:rsid w:val="00A30CC1"/>
    <w:rsid w:val="00A32FBF"/>
    <w:rsid w:val="00A33C9A"/>
    <w:rsid w:val="00A37677"/>
    <w:rsid w:val="00A4124A"/>
    <w:rsid w:val="00A420F4"/>
    <w:rsid w:val="00A42E53"/>
    <w:rsid w:val="00A47741"/>
    <w:rsid w:val="00A50FE7"/>
    <w:rsid w:val="00A537B8"/>
    <w:rsid w:val="00A54495"/>
    <w:rsid w:val="00A57C43"/>
    <w:rsid w:val="00A61911"/>
    <w:rsid w:val="00A62A8F"/>
    <w:rsid w:val="00A62B88"/>
    <w:rsid w:val="00A632B6"/>
    <w:rsid w:val="00A639B8"/>
    <w:rsid w:val="00A6464F"/>
    <w:rsid w:val="00A646D1"/>
    <w:rsid w:val="00A6484C"/>
    <w:rsid w:val="00A654D7"/>
    <w:rsid w:val="00A671A4"/>
    <w:rsid w:val="00A673E4"/>
    <w:rsid w:val="00A70AD3"/>
    <w:rsid w:val="00A71FCC"/>
    <w:rsid w:val="00A7213F"/>
    <w:rsid w:val="00A72988"/>
    <w:rsid w:val="00A72A96"/>
    <w:rsid w:val="00A72C93"/>
    <w:rsid w:val="00A7442C"/>
    <w:rsid w:val="00A75DD4"/>
    <w:rsid w:val="00A83CCA"/>
    <w:rsid w:val="00A84A74"/>
    <w:rsid w:val="00A856FE"/>
    <w:rsid w:val="00A86C2F"/>
    <w:rsid w:val="00A93773"/>
    <w:rsid w:val="00A946FB"/>
    <w:rsid w:val="00A9506E"/>
    <w:rsid w:val="00A962FA"/>
    <w:rsid w:val="00AA13B8"/>
    <w:rsid w:val="00AA2025"/>
    <w:rsid w:val="00AA36C0"/>
    <w:rsid w:val="00AA438E"/>
    <w:rsid w:val="00AA4B7B"/>
    <w:rsid w:val="00AA54AC"/>
    <w:rsid w:val="00AA56C3"/>
    <w:rsid w:val="00AA5CA1"/>
    <w:rsid w:val="00AA6A6C"/>
    <w:rsid w:val="00AB0920"/>
    <w:rsid w:val="00AB1155"/>
    <w:rsid w:val="00AB1757"/>
    <w:rsid w:val="00AB1831"/>
    <w:rsid w:val="00AB2F5F"/>
    <w:rsid w:val="00AB2FE9"/>
    <w:rsid w:val="00AB455B"/>
    <w:rsid w:val="00AB5B35"/>
    <w:rsid w:val="00AB5E0D"/>
    <w:rsid w:val="00AB616F"/>
    <w:rsid w:val="00AB6911"/>
    <w:rsid w:val="00AB79AC"/>
    <w:rsid w:val="00AC0087"/>
    <w:rsid w:val="00AC0C49"/>
    <w:rsid w:val="00AC12DD"/>
    <w:rsid w:val="00AC19F0"/>
    <w:rsid w:val="00AC21B5"/>
    <w:rsid w:val="00AC27CE"/>
    <w:rsid w:val="00AC2B68"/>
    <w:rsid w:val="00AC2BD8"/>
    <w:rsid w:val="00AD0261"/>
    <w:rsid w:val="00AD034B"/>
    <w:rsid w:val="00AD1DEB"/>
    <w:rsid w:val="00AD26C2"/>
    <w:rsid w:val="00AD3101"/>
    <w:rsid w:val="00AD3DBD"/>
    <w:rsid w:val="00AD6381"/>
    <w:rsid w:val="00AD7862"/>
    <w:rsid w:val="00AD7D81"/>
    <w:rsid w:val="00AE10C8"/>
    <w:rsid w:val="00AE3FEB"/>
    <w:rsid w:val="00AE4B8F"/>
    <w:rsid w:val="00AF1FCB"/>
    <w:rsid w:val="00AF24F0"/>
    <w:rsid w:val="00AF2C29"/>
    <w:rsid w:val="00AF576F"/>
    <w:rsid w:val="00AF5AA3"/>
    <w:rsid w:val="00AF6590"/>
    <w:rsid w:val="00AF76AE"/>
    <w:rsid w:val="00AF7D55"/>
    <w:rsid w:val="00B003F8"/>
    <w:rsid w:val="00B007FE"/>
    <w:rsid w:val="00B015A3"/>
    <w:rsid w:val="00B03A18"/>
    <w:rsid w:val="00B0429E"/>
    <w:rsid w:val="00B05D5B"/>
    <w:rsid w:val="00B06D5F"/>
    <w:rsid w:val="00B1049C"/>
    <w:rsid w:val="00B11288"/>
    <w:rsid w:val="00B112D4"/>
    <w:rsid w:val="00B12471"/>
    <w:rsid w:val="00B12B1B"/>
    <w:rsid w:val="00B1357F"/>
    <w:rsid w:val="00B14052"/>
    <w:rsid w:val="00B140CF"/>
    <w:rsid w:val="00B145A5"/>
    <w:rsid w:val="00B14C9E"/>
    <w:rsid w:val="00B160F5"/>
    <w:rsid w:val="00B164F2"/>
    <w:rsid w:val="00B169D0"/>
    <w:rsid w:val="00B17BF7"/>
    <w:rsid w:val="00B21136"/>
    <w:rsid w:val="00B21985"/>
    <w:rsid w:val="00B21C75"/>
    <w:rsid w:val="00B2316D"/>
    <w:rsid w:val="00B24370"/>
    <w:rsid w:val="00B24CB7"/>
    <w:rsid w:val="00B25BA7"/>
    <w:rsid w:val="00B26DBF"/>
    <w:rsid w:val="00B3297B"/>
    <w:rsid w:val="00B35254"/>
    <w:rsid w:val="00B35CBC"/>
    <w:rsid w:val="00B35D99"/>
    <w:rsid w:val="00B36ECF"/>
    <w:rsid w:val="00B375BF"/>
    <w:rsid w:val="00B3760A"/>
    <w:rsid w:val="00B37EA8"/>
    <w:rsid w:val="00B40E36"/>
    <w:rsid w:val="00B417FD"/>
    <w:rsid w:val="00B4281E"/>
    <w:rsid w:val="00B438AB"/>
    <w:rsid w:val="00B442B0"/>
    <w:rsid w:val="00B44CBF"/>
    <w:rsid w:val="00B45ED0"/>
    <w:rsid w:val="00B46DCB"/>
    <w:rsid w:val="00B47C04"/>
    <w:rsid w:val="00B5034E"/>
    <w:rsid w:val="00B50C4D"/>
    <w:rsid w:val="00B51203"/>
    <w:rsid w:val="00B550DD"/>
    <w:rsid w:val="00B60D99"/>
    <w:rsid w:val="00B63764"/>
    <w:rsid w:val="00B63DFC"/>
    <w:rsid w:val="00B647F9"/>
    <w:rsid w:val="00B64B90"/>
    <w:rsid w:val="00B6598F"/>
    <w:rsid w:val="00B65A47"/>
    <w:rsid w:val="00B6789A"/>
    <w:rsid w:val="00B71B0D"/>
    <w:rsid w:val="00B74CC6"/>
    <w:rsid w:val="00B74F95"/>
    <w:rsid w:val="00B75B98"/>
    <w:rsid w:val="00B761F0"/>
    <w:rsid w:val="00B77B1B"/>
    <w:rsid w:val="00B81A7D"/>
    <w:rsid w:val="00B82816"/>
    <w:rsid w:val="00B828F9"/>
    <w:rsid w:val="00B83212"/>
    <w:rsid w:val="00B84977"/>
    <w:rsid w:val="00B8660C"/>
    <w:rsid w:val="00B90211"/>
    <w:rsid w:val="00B91874"/>
    <w:rsid w:val="00B93F60"/>
    <w:rsid w:val="00B94EF0"/>
    <w:rsid w:val="00B952EA"/>
    <w:rsid w:val="00B95F95"/>
    <w:rsid w:val="00BA0718"/>
    <w:rsid w:val="00BA1CF3"/>
    <w:rsid w:val="00BA25D9"/>
    <w:rsid w:val="00BA4798"/>
    <w:rsid w:val="00BA5EAB"/>
    <w:rsid w:val="00BA6018"/>
    <w:rsid w:val="00BA7421"/>
    <w:rsid w:val="00BB2070"/>
    <w:rsid w:val="00BB561F"/>
    <w:rsid w:val="00BB6F1A"/>
    <w:rsid w:val="00BB7168"/>
    <w:rsid w:val="00BC150F"/>
    <w:rsid w:val="00BC26EB"/>
    <w:rsid w:val="00BC2C70"/>
    <w:rsid w:val="00BC2DBE"/>
    <w:rsid w:val="00BC3945"/>
    <w:rsid w:val="00BC436B"/>
    <w:rsid w:val="00BC4D97"/>
    <w:rsid w:val="00BC5CE2"/>
    <w:rsid w:val="00BC6098"/>
    <w:rsid w:val="00BC64FA"/>
    <w:rsid w:val="00BC725F"/>
    <w:rsid w:val="00BD0B64"/>
    <w:rsid w:val="00BD1074"/>
    <w:rsid w:val="00BD2C98"/>
    <w:rsid w:val="00BD4789"/>
    <w:rsid w:val="00BD5C7F"/>
    <w:rsid w:val="00BD6F4E"/>
    <w:rsid w:val="00BE09C8"/>
    <w:rsid w:val="00BE3A61"/>
    <w:rsid w:val="00BE4DB5"/>
    <w:rsid w:val="00BE5041"/>
    <w:rsid w:val="00BE5601"/>
    <w:rsid w:val="00BE5CDF"/>
    <w:rsid w:val="00BF0590"/>
    <w:rsid w:val="00BF14D8"/>
    <w:rsid w:val="00BF26E7"/>
    <w:rsid w:val="00BF2F20"/>
    <w:rsid w:val="00BF339E"/>
    <w:rsid w:val="00BF4F90"/>
    <w:rsid w:val="00BF5AA1"/>
    <w:rsid w:val="00BF5E90"/>
    <w:rsid w:val="00BF64B9"/>
    <w:rsid w:val="00BF72C8"/>
    <w:rsid w:val="00C033B0"/>
    <w:rsid w:val="00C034FD"/>
    <w:rsid w:val="00C043B6"/>
    <w:rsid w:val="00C061AF"/>
    <w:rsid w:val="00C06656"/>
    <w:rsid w:val="00C07730"/>
    <w:rsid w:val="00C10B9C"/>
    <w:rsid w:val="00C113A8"/>
    <w:rsid w:val="00C115E0"/>
    <w:rsid w:val="00C14C14"/>
    <w:rsid w:val="00C1553B"/>
    <w:rsid w:val="00C2087C"/>
    <w:rsid w:val="00C21579"/>
    <w:rsid w:val="00C215FE"/>
    <w:rsid w:val="00C23732"/>
    <w:rsid w:val="00C24D81"/>
    <w:rsid w:val="00C27730"/>
    <w:rsid w:val="00C30C22"/>
    <w:rsid w:val="00C33388"/>
    <w:rsid w:val="00C361EE"/>
    <w:rsid w:val="00C366CD"/>
    <w:rsid w:val="00C37406"/>
    <w:rsid w:val="00C40382"/>
    <w:rsid w:val="00C40B23"/>
    <w:rsid w:val="00C40C2A"/>
    <w:rsid w:val="00C415B8"/>
    <w:rsid w:val="00C41854"/>
    <w:rsid w:val="00C450CF"/>
    <w:rsid w:val="00C45FAF"/>
    <w:rsid w:val="00C515A4"/>
    <w:rsid w:val="00C52032"/>
    <w:rsid w:val="00C5266B"/>
    <w:rsid w:val="00C528BE"/>
    <w:rsid w:val="00C6020F"/>
    <w:rsid w:val="00C615E3"/>
    <w:rsid w:val="00C61E77"/>
    <w:rsid w:val="00C71158"/>
    <w:rsid w:val="00C721D8"/>
    <w:rsid w:val="00C72D87"/>
    <w:rsid w:val="00C73C1E"/>
    <w:rsid w:val="00C7419D"/>
    <w:rsid w:val="00C75A59"/>
    <w:rsid w:val="00C765C7"/>
    <w:rsid w:val="00C77130"/>
    <w:rsid w:val="00C77523"/>
    <w:rsid w:val="00C80EB4"/>
    <w:rsid w:val="00C81077"/>
    <w:rsid w:val="00C81D6B"/>
    <w:rsid w:val="00C83421"/>
    <w:rsid w:val="00C841EF"/>
    <w:rsid w:val="00C85792"/>
    <w:rsid w:val="00C87277"/>
    <w:rsid w:val="00C87DAE"/>
    <w:rsid w:val="00C90014"/>
    <w:rsid w:val="00C90446"/>
    <w:rsid w:val="00C91744"/>
    <w:rsid w:val="00C91F79"/>
    <w:rsid w:val="00C94330"/>
    <w:rsid w:val="00C964FA"/>
    <w:rsid w:val="00CA07CA"/>
    <w:rsid w:val="00CA0C2D"/>
    <w:rsid w:val="00CA2572"/>
    <w:rsid w:val="00CA2905"/>
    <w:rsid w:val="00CA5CBA"/>
    <w:rsid w:val="00CB0538"/>
    <w:rsid w:val="00CB171C"/>
    <w:rsid w:val="00CB1A5B"/>
    <w:rsid w:val="00CB22FC"/>
    <w:rsid w:val="00CB2397"/>
    <w:rsid w:val="00CB269F"/>
    <w:rsid w:val="00CB3BD2"/>
    <w:rsid w:val="00CB680F"/>
    <w:rsid w:val="00CC0B6E"/>
    <w:rsid w:val="00CC3D9B"/>
    <w:rsid w:val="00CC3F78"/>
    <w:rsid w:val="00CC653C"/>
    <w:rsid w:val="00CC6CA2"/>
    <w:rsid w:val="00CC7146"/>
    <w:rsid w:val="00CC73CA"/>
    <w:rsid w:val="00CC7C66"/>
    <w:rsid w:val="00CC7E03"/>
    <w:rsid w:val="00CD065C"/>
    <w:rsid w:val="00CD14E6"/>
    <w:rsid w:val="00CD1BEF"/>
    <w:rsid w:val="00CD3336"/>
    <w:rsid w:val="00CD434C"/>
    <w:rsid w:val="00CD56CC"/>
    <w:rsid w:val="00CD5D3D"/>
    <w:rsid w:val="00CD6E0C"/>
    <w:rsid w:val="00CD7C11"/>
    <w:rsid w:val="00CE1B67"/>
    <w:rsid w:val="00CE1C44"/>
    <w:rsid w:val="00CE1E42"/>
    <w:rsid w:val="00CE44DD"/>
    <w:rsid w:val="00CE4BF7"/>
    <w:rsid w:val="00CE5502"/>
    <w:rsid w:val="00CF1307"/>
    <w:rsid w:val="00CF1A72"/>
    <w:rsid w:val="00CF3C73"/>
    <w:rsid w:val="00CF4561"/>
    <w:rsid w:val="00CF46A8"/>
    <w:rsid w:val="00CF6C1B"/>
    <w:rsid w:val="00CF710C"/>
    <w:rsid w:val="00CF7533"/>
    <w:rsid w:val="00CF7728"/>
    <w:rsid w:val="00D00B95"/>
    <w:rsid w:val="00D02552"/>
    <w:rsid w:val="00D02F70"/>
    <w:rsid w:val="00D04954"/>
    <w:rsid w:val="00D05255"/>
    <w:rsid w:val="00D05E64"/>
    <w:rsid w:val="00D06720"/>
    <w:rsid w:val="00D079A5"/>
    <w:rsid w:val="00D10D20"/>
    <w:rsid w:val="00D11F75"/>
    <w:rsid w:val="00D1234F"/>
    <w:rsid w:val="00D12DC5"/>
    <w:rsid w:val="00D135E3"/>
    <w:rsid w:val="00D136D8"/>
    <w:rsid w:val="00D13B3C"/>
    <w:rsid w:val="00D14CF5"/>
    <w:rsid w:val="00D1530E"/>
    <w:rsid w:val="00D153A9"/>
    <w:rsid w:val="00D15D0B"/>
    <w:rsid w:val="00D1670A"/>
    <w:rsid w:val="00D1697B"/>
    <w:rsid w:val="00D21549"/>
    <w:rsid w:val="00D21637"/>
    <w:rsid w:val="00D23324"/>
    <w:rsid w:val="00D23CB1"/>
    <w:rsid w:val="00D23D37"/>
    <w:rsid w:val="00D241AC"/>
    <w:rsid w:val="00D247CF"/>
    <w:rsid w:val="00D27699"/>
    <w:rsid w:val="00D27C5B"/>
    <w:rsid w:val="00D309D2"/>
    <w:rsid w:val="00D32C4F"/>
    <w:rsid w:val="00D33467"/>
    <w:rsid w:val="00D3426F"/>
    <w:rsid w:val="00D348DB"/>
    <w:rsid w:val="00D351F9"/>
    <w:rsid w:val="00D371B9"/>
    <w:rsid w:val="00D37635"/>
    <w:rsid w:val="00D37F47"/>
    <w:rsid w:val="00D42FFF"/>
    <w:rsid w:val="00D47147"/>
    <w:rsid w:val="00D47B12"/>
    <w:rsid w:val="00D53501"/>
    <w:rsid w:val="00D54613"/>
    <w:rsid w:val="00D5655A"/>
    <w:rsid w:val="00D57309"/>
    <w:rsid w:val="00D57C47"/>
    <w:rsid w:val="00D61072"/>
    <w:rsid w:val="00D615C3"/>
    <w:rsid w:val="00D61F06"/>
    <w:rsid w:val="00D6531C"/>
    <w:rsid w:val="00D718AA"/>
    <w:rsid w:val="00D7500E"/>
    <w:rsid w:val="00D752D8"/>
    <w:rsid w:val="00D77D1D"/>
    <w:rsid w:val="00D82CDB"/>
    <w:rsid w:val="00D833D1"/>
    <w:rsid w:val="00D83B7C"/>
    <w:rsid w:val="00D841D3"/>
    <w:rsid w:val="00D8612C"/>
    <w:rsid w:val="00D86D5E"/>
    <w:rsid w:val="00D8714C"/>
    <w:rsid w:val="00D875FA"/>
    <w:rsid w:val="00D87D91"/>
    <w:rsid w:val="00D9009F"/>
    <w:rsid w:val="00D9037C"/>
    <w:rsid w:val="00D90643"/>
    <w:rsid w:val="00D90C85"/>
    <w:rsid w:val="00D91B93"/>
    <w:rsid w:val="00D9267D"/>
    <w:rsid w:val="00D93285"/>
    <w:rsid w:val="00D93CDB"/>
    <w:rsid w:val="00D94047"/>
    <w:rsid w:val="00D940DD"/>
    <w:rsid w:val="00D94649"/>
    <w:rsid w:val="00D94C10"/>
    <w:rsid w:val="00D96E92"/>
    <w:rsid w:val="00D977D7"/>
    <w:rsid w:val="00DA0630"/>
    <w:rsid w:val="00DA1F6A"/>
    <w:rsid w:val="00DA274C"/>
    <w:rsid w:val="00DA3ABD"/>
    <w:rsid w:val="00DA3C46"/>
    <w:rsid w:val="00DA4626"/>
    <w:rsid w:val="00DA4E7B"/>
    <w:rsid w:val="00DA5500"/>
    <w:rsid w:val="00DA55F4"/>
    <w:rsid w:val="00DA5BC2"/>
    <w:rsid w:val="00DB029C"/>
    <w:rsid w:val="00DB216C"/>
    <w:rsid w:val="00DB250B"/>
    <w:rsid w:val="00DB47B6"/>
    <w:rsid w:val="00DB4BB7"/>
    <w:rsid w:val="00DB57A0"/>
    <w:rsid w:val="00DB6745"/>
    <w:rsid w:val="00DB77B4"/>
    <w:rsid w:val="00DC08BF"/>
    <w:rsid w:val="00DC0A44"/>
    <w:rsid w:val="00DC0D9E"/>
    <w:rsid w:val="00DC3487"/>
    <w:rsid w:val="00DC421E"/>
    <w:rsid w:val="00DC4ACE"/>
    <w:rsid w:val="00DC5AF4"/>
    <w:rsid w:val="00DC5DF4"/>
    <w:rsid w:val="00DC7EDC"/>
    <w:rsid w:val="00DC7EF6"/>
    <w:rsid w:val="00DD293A"/>
    <w:rsid w:val="00DD2D10"/>
    <w:rsid w:val="00DD3AED"/>
    <w:rsid w:val="00DD40F1"/>
    <w:rsid w:val="00DD525C"/>
    <w:rsid w:val="00DD666F"/>
    <w:rsid w:val="00DE206C"/>
    <w:rsid w:val="00DE3E6F"/>
    <w:rsid w:val="00DE3E80"/>
    <w:rsid w:val="00DE4601"/>
    <w:rsid w:val="00DE545A"/>
    <w:rsid w:val="00DE565B"/>
    <w:rsid w:val="00DE5D08"/>
    <w:rsid w:val="00DF42C2"/>
    <w:rsid w:val="00DF6C73"/>
    <w:rsid w:val="00E0219F"/>
    <w:rsid w:val="00E03E61"/>
    <w:rsid w:val="00E03EE7"/>
    <w:rsid w:val="00E0455A"/>
    <w:rsid w:val="00E05F54"/>
    <w:rsid w:val="00E10A90"/>
    <w:rsid w:val="00E17D81"/>
    <w:rsid w:val="00E204C7"/>
    <w:rsid w:val="00E20EC8"/>
    <w:rsid w:val="00E22042"/>
    <w:rsid w:val="00E22AF5"/>
    <w:rsid w:val="00E23C24"/>
    <w:rsid w:val="00E24175"/>
    <w:rsid w:val="00E24176"/>
    <w:rsid w:val="00E258C6"/>
    <w:rsid w:val="00E26207"/>
    <w:rsid w:val="00E34BB7"/>
    <w:rsid w:val="00E36F83"/>
    <w:rsid w:val="00E37EAB"/>
    <w:rsid w:val="00E41100"/>
    <w:rsid w:val="00E42C95"/>
    <w:rsid w:val="00E438E0"/>
    <w:rsid w:val="00E45007"/>
    <w:rsid w:val="00E45422"/>
    <w:rsid w:val="00E45982"/>
    <w:rsid w:val="00E4629F"/>
    <w:rsid w:val="00E47FAF"/>
    <w:rsid w:val="00E5051C"/>
    <w:rsid w:val="00E51000"/>
    <w:rsid w:val="00E5219B"/>
    <w:rsid w:val="00E524DD"/>
    <w:rsid w:val="00E52FF6"/>
    <w:rsid w:val="00E53EFD"/>
    <w:rsid w:val="00E60667"/>
    <w:rsid w:val="00E60677"/>
    <w:rsid w:val="00E609EC"/>
    <w:rsid w:val="00E60A70"/>
    <w:rsid w:val="00E61F27"/>
    <w:rsid w:val="00E62F4C"/>
    <w:rsid w:val="00E67317"/>
    <w:rsid w:val="00E718A7"/>
    <w:rsid w:val="00E71D15"/>
    <w:rsid w:val="00E73C44"/>
    <w:rsid w:val="00E73CBA"/>
    <w:rsid w:val="00E741F2"/>
    <w:rsid w:val="00E75C80"/>
    <w:rsid w:val="00E768BD"/>
    <w:rsid w:val="00E806A2"/>
    <w:rsid w:val="00E807A7"/>
    <w:rsid w:val="00E808DF"/>
    <w:rsid w:val="00E809F7"/>
    <w:rsid w:val="00E80C11"/>
    <w:rsid w:val="00E80F9A"/>
    <w:rsid w:val="00E8105A"/>
    <w:rsid w:val="00E814A2"/>
    <w:rsid w:val="00E81DCC"/>
    <w:rsid w:val="00E82882"/>
    <w:rsid w:val="00E84F91"/>
    <w:rsid w:val="00E86D8C"/>
    <w:rsid w:val="00E8731E"/>
    <w:rsid w:val="00E903BA"/>
    <w:rsid w:val="00E91966"/>
    <w:rsid w:val="00E91C00"/>
    <w:rsid w:val="00E91C9C"/>
    <w:rsid w:val="00E91CA4"/>
    <w:rsid w:val="00E93A08"/>
    <w:rsid w:val="00E94851"/>
    <w:rsid w:val="00E95899"/>
    <w:rsid w:val="00E95C15"/>
    <w:rsid w:val="00E96923"/>
    <w:rsid w:val="00E96C18"/>
    <w:rsid w:val="00E9710C"/>
    <w:rsid w:val="00E97454"/>
    <w:rsid w:val="00E97848"/>
    <w:rsid w:val="00E97C74"/>
    <w:rsid w:val="00EA2BED"/>
    <w:rsid w:val="00EA617D"/>
    <w:rsid w:val="00EA647E"/>
    <w:rsid w:val="00EA7F7E"/>
    <w:rsid w:val="00EB0093"/>
    <w:rsid w:val="00EB01D6"/>
    <w:rsid w:val="00EB0224"/>
    <w:rsid w:val="00EB0454"/>
    <w:rsid w:val="00EB085D"/>
    <w:rsid w:val="00EB08FD"/>
    <w:rsid w:val="00EB1441"/>
    <w:rsid w:val="00EB2378"/>
    <w:rsid w:val="00EB29DB"/>
    <w:rsid w:val="00EB2B2B"/>
    <w:rsid w:val="00EB4749"/>
    <w:rsid w:val="00EB5F2B"/>
    <w:rsid w:val="00EB7448"/>
    <w:rsid w:val="00EB78D3"/>
    <w:rsid w:val="00EC1ECF"/>
    <w:rsid w:val="00EC5276"/>
    <w:rsid w:val="00EC5A60"/>
    <w:rsid w:val="00EC772A"/>
    <w:rsid w:val="00EC7C25"/>
    <w:rsid w:val="00ED06C4"/>
    <w:rsid w:val="00ED188D"/>
    <w:rsid w:val="00ED38A7"/>
    <w:rsid w:val="00ED3970"/>
    <w:rsid w:val="00ED3C67"/>
    <w:rsid w:val="00ED4582"/>
    <w:rsid w:val="00ED5581"/>
    <w:rsid w:val="00ED6BED"/>
    <w:rsid w:val="00ED77AF"/>
    <w:rsid w:val="00EE01C2"/>
    <w:rsid w:val="00EE207E"/>
    <w:rsid w:val="00EE5B02"/>
    <w:rsid w:val="00EE61A4"/>
    <w:rsid w:val="00EE6C3B"/>
    <w:rsid w:val="00EF0B1D"/>
    <w:rsid w:val="00EF122F"/>
    <w:rsid w:val="00EF19BF"/>
    <w:rsid w:val="00EF24FB"/>
    <w:rsid w:val="00EF533D"/>
    <w:rsid w:val="00EF56DF"/>
    <w:rsid w:val="00EF6018"/>
    <w:rsid w:val="00EF77ED"/>
    <w:rsid w:val="00F014D8"/>
    <w:rsid w:val="00F02CF4"/>
    <w:rsid w:val="00F030F1"/>
    <w:rsid w:val="00F10569"/>
    <w:rsid w:val="00F115B4"/>
    <w:rsid w:val="00F12160"/>
    <w:rsid w:val="00F12E6B"/>
    <w:rsid w:val="00F12F13"/>
    <w:rsid w:val="00F13425"/>
    <w:rsid w:val="00F13C94"/>
    <w:rsid w:val="00F153B4"/>
    <w:rsid w:val="00F1597F"/>
    <w:rsid w:val="00F16BED"/>
    <w:rsid w:val="00F209DC"/>
    <w:rsid w:val="00F236F6"/>
    <w:rsid w:val="00F23EB7"/>
    <w:rsid w:val="00F2412E"/>
    <w:rsid w:val="00F257E0"/>
    <w:rsid w:val="00F2732F"/>
    <w:rsid w:val="00F27CD7"/>
    <w:rsid w:val="00F34F23"/>
    <w:rsid w:val="00F35081"/>
    <w:rsid w:val="00F414BD"/>
    <w:rsid w:val="00F4313A"/>
    <w:rsid w:val="00F4380C"/>
    <w:rsid w:val="00F45E06"/>
    <w:rsid w:val="00F51AC2"/>
    <w:rsid w:val="00F528A5"/>
    <w:rsid w:val="00F53C0A"/>
    <w:rsid w:val="00F55216"/>
    <w:rsid w:val="00F61021"/>
    <w:rsid w:val="00F61F61"/>
    <w:rsid w:val="00F63291"/>
    <w:rsid w:val="00F677BD"/>
    <w:rsid w:val="00F70A21"/>
    <w:rsid w:val="00F7273F"/>
    <w:rsid w:val="00F72ED2"/>
    <w:rsid w:val="00F7383D"/>
    <w:rsid w:val="00F73F8B"/>
    <w:rsid w:val="00F758EB"/>
    <w:rsid w:val="00F77239"/>
    <w:rsid w:val="00F77B4B"/>
    <w:rsid w:val="00F80801"/>
    <w:rsid w:val="00F813FB"/>
    <w:rsid w:val="00F81C34"/>
    <w:rsid w:val="00F8245E"/>
    <w:rsid w:val="00F83CD1"/>
    <w:rsid w:val="00F848A0"/>
    <w:rsid w:val="00F84CA6"/>
    <w:rsid w:val="00F84E14"/>
    <w:rsid w:val="00F8699C"/>
    <w:rsid w:val="00F86B2D"/>
    <w:rsid w:val="00F90738"/>
    <w:rsid w:val="00F92F61"/>
    <w:rsid w:val="00F9389B"/>
    <w:rsid w:val="00F938E0"/>
    <w:rsid w:val="00F957CA"/>
    <w:rsid w:val="00F95A24"/>
    <w:rsid w:val="00FA05DD"/>
    <w:rsid w:val="00FA61B1"/>
    <w:rsid w:val="00FA6BEC"/>
    <w:rsid w:val="00FA6F3D"/>
    <w:rsid w:val="00FB03E6"/>
    <w:rsid w:val="00FB1C81"/>
    <w:rsid w:val="00FB3070"/>
    <w:rsid w:val="00FB4181"/>
    <w:rsid w:val="00FB4F7A"/>
    <w:rsid w:val="00FB52E1"/>
    <w:rsid w:val="00FB6FED"/>
    <w:rsid w:val="00FB7EF2"/>
    <w:rsid w:val="00FC00CC"/>
    <w:rsid w:val="00FC0730"/>
    <w:rsid w:val="00FC1566"/>
    <w:rsid w:val="00FC16EA"/>
    <w:rsid w:val="00FC17D5"/>
    <w:rsid w:val="00FC3C6F"/>
    <w:rsid w:val="00FC54AA"/>
    <w:rsid w:val="00FC6F25"/>
    <w:rsid w:val="00FC7C54"/>
    <w:rsid w:val="00FD0DA2"/>
    <w:rsid w:val="00FD2492"/>
    <w:rsid w:val="00FD3873"/>
    <w:rsid w:val="00FD3EE8"/>
    <w:rsid w:val="00FD3F01"/>
    <w:rsid w:val="00FD4264"/>
    <w:rsid w:val="00FD7FA8"/>
    <w:rsid w:val="00FE3843"/>
    <w:rsid w:val="00FE3E0E"/>
    <w:rsid w:val="00FE742A"/>
    <w:rsid w:val="00FF0046"/>
    <w:rsid w:val="00FF18B8"/>
    <w:rsid w:val="00FF19AA"/>
    <w:rsid w:val="00FF41C8"/>
    <w:rsid w:val="00FF4405"/>
    <w:rsid w:val="00FF4586"/>
    <w:rsid w:val="00FF4A86"/>
    <w:rsid w:val="00FF6C9B"/>
    <w:rsid w:val="00FF6D28"/>
    <w:rsid w:val="00FF7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943AA1"/>
    <w:pPr>
      <w:spacing w:after="0" w:line="360" w:lineRule="auto"/>
      <w:ind w:left="1134" w:hanging="1134"/>
      <w:jc w:val="both"/>
    </w:pPr>
    <w:rPr>
      <w:lang w:val="de-DE"/>
    </w:rPr>
  </w:style>
  <w:style w:type="paragraph" w:styleId="berschrift1">
    <w:name w:val="heading 1"/>
    <w:basedOn w:val="Listenabsatz"/>
    <w:next w:val="Standard"/>
    <w:link w:val="berschrift1Zchn"/>
    <w:uiPriority w:val="9"/>
    <w:semiHidden/>
    <w:rsid w:val="00442DEB"/>
    <w:pPr>
      <w:keepNext/>
      <w:keepLines/>
      <w:tabs>
        <w:tab w:val="num" w:pos="420"/>
      </w:tabs>
      <w:ind w:left="357" w:hanging="357"/>
      <w:outlineLvl w:val="0"/>
    </w:pPr>
    <w:rPr>
      <w:rFonts w:asciiTheme="majorHAnsi" w:eastAsiaTheme="majorEastAsia" w:hAnsiTheme="majorHAnsi" w:cstheme="majorBidi"/>
      <w:bCs/>
      <w:sz w:val="28"/>
      <w:szCs w:val="28"/>
    </w:rPr>
  </w:style>
  <w:style w:type="paragraph" w:styleId="berschrift2">
    <w:name w:val="heading 2"/>
    <w:basedOn w:val="Listenabsatz"/>
    <w:next w:val="Standard"/>
    <w:link w:val="berschrift2Zchn"/>
    <w:uiPriority w:val="9"/>
    <w:semiHidden/>
    <w:qFormat/>
    <w:rsid w:val="00442DEB"/>
    <w:pPr>
      <w:keepNext/>
      <w:keepLines/>
      <w:tabs>
        <w:tab w:val="num" w:pos="360"/>
      </w:tabs>
      <w:ind w:left="360" w:hanging="360"/>
      <w:outlineLvl w:val="1"/>
    </w:pPr>
    <w:rPr>
      <w:rFonts w:asciiTheme="majorHAnsi" w:eastAsiaTheme="majorEastAsia" w:hAnsiTheme="majorHAnsi" w:cstheme="majorBidi"/>
      <w:bCs/>
      <w:color w:val="000000" w:themeColor="text1"/>
      <w:sz w:val="24"/>
      <w:szCs w:val="26"/>
    </w:rPr>
  </w:style>
  <w:style w:type="paragraph" w:styleId="berschrift3">
    <w:name w:val="heading 3"/>
    <w:basedOn w:val="Listenabsatz"/>
    <w:next w:val="Standard"/>
    <w:link w:val="berschrift3Zchn"/>
    <w:uiPriority w:val="9"/>
    <w:semiHidden/>
    <w:qFormat/>
    <w:rsid w:val="00442DEB"/>
    <w:pPr>
      <w:keepNext/>
      <w:keepLines/>
      <w:tabs>
        <w:tab w:val="num" w:pos="360"/>
      </w:tabs>
      <w:ind w:left="709" w:hanging="709"/>
      <w:outlineLvl w:val="2"/>
    </w:pPr>
    <w:rPr>
      <w:rFonts w:asciiTheme="majorHAnsi" w:eastAsiaTheme="majorEastAsia" w:hAnsiTheme="majorHAnsi" w:cstheme="majorBidi"/>
      <w:bCs/>
      <w:color w:val="000000" w:themeColor="text1"/>
    </w:rPr>
  </w:style>
  <w:style w:type="paragraph" w:styleId="berschrift4">
    <w:name w:val="heading 4"/>
    <w:basedOn w:val="Standard"/>
    <w:next w:val="Standard"/>
    <w:link w:val="berschrift4Zchn"/>
    <w:uiPriority w:val="9"/>
    <w:semiHidden/>
    <w:qFormat/>
    <w:rsid w:val="00533C13"/>
    <w:pPr>
      <w:keepNext/>
      <w:keepLines/>
      <w:tabs>
        <w:tab w:val="num" w:pos="360"/>
      </w:tabs>
      <w:ind w:left="851" w:hanging="851"/>
      <w:outlineLvl w:val="3"/>
    </w:pPr>
    <w:rPr>
      <w:rFonts w:asciiTheme="majorHAnsi" w:eastAsiaTheme="majorEastAsia" w:hAnsiTheme="majorHAnsi"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FD3EE8"/>
    <w:rPr>
      <w:rFonts w:asciiTheme="majorHAnsi" w:eastAsiaTheme="majorEastAsia" w:hAnsiTheme="majorHAnsi" w:cstheme="majorBidi"/>
      <w:bCs/>
      <w:sz w:val="28"/>
      <w:szCs w:val="28"/>
    </w:rPr>
  </w:style>
  <w:style w:type="paragraph" w:customStyle="1" w:styleId="StandardMengentext">
    <w:name w:val="Standard Mengentext"/>
    <w:basedOn w:val="Standard"/>
    <w:semiHidden/>
    <w:unhideWhenUsed/>
    <w:rsid w:val="00442DEB"/>
    <w:rPr>
      <w:rFonts w:ascii="Swis721 Lt BT" w:eastAsia="Times New Roman" w:hAnsi="Swis721 Lt BT" w:cs="Times New Roman"/>
      <w:szCs w:val="24"/>
      <w:lang w:eastAsia="de-DE"/>
    </w:rPr>
  </w:style>
  <w:style w:type="paragraph" w:styleId="Sprechblasentext">
    <w:name w:val="Balloon Text"/>
    <w:basedOn w:val="Standard"/>
    <w:link w:val="SprechblasentextZchn"/>
    <w:uiPriority w:val="99"/>
    <w:semiHidden/>
    <w:unhideWhenUsed/>
    <w:rsid w:val="00442D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C13"/>
    <w:rPr>
      <w:rFonts w:ascii="Tahoma" w:hAnsi="Tahoma" w:cs="Tahoma"/>
      <w:sz w:val="16"/>
      <w:szCs w:val="16"/>
    </w:rPr>
  </w:style>
  <w:style w:type="character" w:customStyle="1" w:styleId="berschrift2Zchn">
    <w:name w:val="Überschrift 2 Zchn"/>
    <w:basedOn w:val="Absatz-Standardschriftart"/>
    <w:link w:val="berschrift2"/>
    <w:uiPriority w:val="9"/>
    <w:semiHidden/>
    <w:rsid w:val="00FD3EE8"/>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
    <w:semiHidden/>
    <w:rsid w:val="00FD3EE8"/>
    <w:rPr>
      <w:rFonts w:asciiTheme="majorHAnsi" w:eastAsiaTheme="majorEastAsia" w:hAnsiTheme="majorHAnsi" w:cstheme="majorBidi"/>
      <w:bCs/>
      <w:color w:val="000000" w:themeColor="text1"/>
    </w:rPr>
  </w:style>
  <w:style w:type="character" w:customStyle="1" w:styleId="berschrift4Zchn">
    <w:name w:val="Überschrift 4 Zchn"/>
    <w:basedOn w:val="Absatz-Standardschriftart"/>
    <w:link w:val="berschrift4"/>
    <w:uiPriority w:val="9"/>
    <w:semiHidden/>
    <w:rsid w:val="00FD3EE8"/>
    <w:rPr>
      <w:rFonts w:asciiTheme="majorHAnsi" w:eastAsiaTheme="majorEastAsia" w:hAnsiTheme="majorHAnsi" w:cstheme="majorBidi"/>
      <w:bCs/>
      <w:iCs/>
      <w:color w:val="000000" w:themeColor="text1"/>
    </w:rPr>
  </w:style>
  <w:style w:type="paragraph" w:styleId="Titel">
    <w:name w:val="Title"/>
    <w:basedOn w:val="Standard"/>
    <w:next w:val="Standard"/>
    <w:link w:val="TitelZchn"/>
    <w:qFormat/>
    <w:rsid w:val="00533C13"/>
    <w:pPr>
      <w:spacing w:after="120"/>
      <w:contextualSpacing/>
    </w:pPr>
    <w:rPr>
      <w:rFonts w:asciiTheme="majorHAnsi" w:eastAsiaTheme="majorEastAsia" w:hAnsiTheme="majorHAnsi" w:cstheme="majorBidi"/>
      <w:color w:val="000000" w:themeColor="text1"/>
      <w:spacing w:val="5"/>
      <w:kern w:val="28"/>
      <w:sz w:val="32"/>
      <w:szCs w:val="52"/>
    </w:rPr>
  </w:style>
  <w:style w:type="character" w:customStyle="1" w:styleId="TitelZchn">
    <w:name w:val="Titel Zchn"/>
    <w:basedOn w:val="Absatz-Standardschriftart"/>
    <w:link w:val="Titel"/>
    <w:rsid w:val="00533C13"/>
    <w:rPr>
      <w:rFonts w:asciiTheme="majorHAnsi" w:eastAsiaTheme="majorEastAsia" w:hAnsiTheme="majorHAnsi" w:cstheme="majorBidi"/>
      <w:color w:val="000000" w:themeColor="text1"/>
      <w:spacing w:val="5"/>
      <w:kern w:val="28"/>
      <w:sz w:val="32"/>
      <w:szCs w:val="52"/>
    </w:rPr>
  </w:style>
  <w:style w:type="paragraph" w:styleId="Untertitel">
    <w:name w:val="Subtitle"/>
    <w:basedOn w:val="Standard"/>
    <w:next w:val="Standard"/>
    <w:link w:val="UntertitelZchn"/>
    <w:uiPriority w:val="11"/>
    <w:qFormat/>
    <w:rsid w:val="00533C13"/>
    <w:pPr>
      <w:numPr>
        <w:ilvl w:val="1"/>
      </w:numPr>
      <w:spacing w:after="120"/>
      <w:ind w:left="1134" w:hanging="1134"/>
    </w:pPr>
    <w:rPr>
      <w:rFonts w:asciiTheme="majorHAnsi" w:eastAsiaTheme="majorEastAsia" w:hAnsiTheme="majorHAnsi" w:cstheme="majorBidi"/>
      <w:iCs/>
      <w:color w:val="000000" w:themeColor="text1"/>
      <w:spacing w:val="15"/>
      <w:sz w:val="28"/>
      <w:szCs w:val="24"/>
    </w:rPr>
  </w:style>
  <w:style w:type="character" w:customStyle="1" w:styleId="UntertitelZchn">
    <w:name w:val="Untertitel Zchn"/>
    <w:basedOn w:val="Absatz-Standardschriftart"/>
    <w:link w:val="Untertitel"/>
    <w:uiPriority w:val="11"/>
    <w:rsid w:val="00533C13"/>
    <w:rPr>
      <w:rFonts w:asciiTheme="majorHAnsi" w:eastAsiaTheme="majorEastAsia" w:hAnsiTheme="majorHAnsi" w:cstheme="majorBidi"/>
      <w:iCs/>
      <w:color w:val="000000" w:themeColor="text1"/>
      <w:spacing w:val="15"/>
      <w:sz w:val="28"/>
      <w:szCs w:val="24"/>
    </w:rPr>
  </w:style>
  <w:style w:type="paragraph" w:styleId="Aufzhlungszeichen">
    <w:name w:val="List Bullet"/>
    <w:basedOn w:val="Standard"/>
    <w:uiPriority w:val="99"/>
    <w:rsid w:val="00533C13"/>
    <w:pPr>
      <w:tabs>
        <w:tab w:val="num" w:pos="720"/>
      </w:tabs>
      <w:spacing w:before="120" w:after="120"/>
      <w:ind w:left="709" w:hanging="425"/>
      <w:contextualSpacing/>
    </w:pPr>
    <w:rPr>
      <w:color w:val="000000" w:themeColor="text1"/>
    </w:rPr>
  </w:style>
  <w:style w:type="table" w:styleId="Tabellenraster">
    <w:name w:val="Table Grid"/>
    <w:basedOn w:val="NormaleTabelle"/>
    <w:uiPriority w:val="59"/>
    <w:rsid w:val="00FC17D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MTabelleWorddunkel">
    <w:name w:val="RCM Tabelle Word dunkel"/>
    <w:basedOn w:val="NormaleTabelle"/>
    <w:uiPriority w:val="99"/>
    <w:qFormat/>
    <w:rsid w:val="00525A9C"/>
    <w:pPr>
      <w:spacing w:after="0"/>
    </w:pPr>
    <w:tblPr>
      <w:tblStyleRowBandSize w:val="1"/>
      <w:tblStyleColBandSize w:val="1"/>
      <w:tblInd w:w="0"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0" w:type="dxa"/>
        <w:left w:w="108" w:type="dxa"/>
        <w:bottom w:w="0" w:type="dxa"/>
        <w:right w:w="108" w:type="dxa"/>
      </w:tblCellMar>
    </w:tblPr>
    <w:tcPr>
      <w:shd w:val="clear" w:color="auto" w:fill="E7E9EC"/>
    </w:tcPr>
    <w:tblStylePr w:type="firstRow">
      <w:rPr>
        <w:rFonts w:asciiTheme="minorHAnsi" w:hAnsiTheme="minorHAnsi"/>
        <w:b/>
        <w:color w:val="FFFFFF" w:themeColor="background2"/>
        <w:sz w:val="22"/>
      </w:rPr>
      <w:tblPr/>
      <w:tcPr>
        <w:tcBorders>
          <w:top w:val="single" w:sz="4" w:space="0" w:color="FFFFFF" w:themeColor="background2"/>
          <w:left w:val="single" w:sz="4" w:space="0" w:color="FFFFFF" w:themeColor="background2"/>
          <w:bottom w:val="single" w:sz="18"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1E4A76"/>
      </w:tcPr>
    </w:tblStylePr>
    <w:tblStylePr w:type="lastRow">
      <w:rPr>
        <w:rFonts w:asciiTheme="minorHAnsi" w:hAnsiTheme="minorHAnsi"/>
        <w:b/>
        <w:color w:val="FFFFFF" w:themeColor="background2"/>
        <w:sz w:val="22"/>
      </w:rPr>
      <w:tblPr/>
      <w:tcPr>
        <w:tcBorders>
          <w:top w:val="single" w:sz="1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cBorders>
        <w:shd w:val="clear" w:color="auto" w:fill="1E4A76"/>
      </w:tcPr>
    </w:tblStylePr>
    <w:tblStylePr w:type="firstCol">
      <w:rPr>
        <w:rFonts w:asciiTheme="minorHAnsi" w:hAnsiTheme="minorHAnsi"/>
        <w:b/>
        <w:color w:val="FFFFFF" w:themeColor="background2"/>
        <w:sz w:val="22"/>
      </w:rPr>
      <w:tblPr/>
      <w:tcPr>
        <w:tcBorders>
          <w:right w:val="single" w:sz="18" w:space="0" w:color="FFFFFF" w:themeColor="background2"/>
        </w:tcBorders>
        <w:shd w:val="clear" w:color="auto" w:fill="1E4A76"/>
      </w:tcPr>
    </w:tblStylePr>
    <w:tblStylePr w:type="lastCol">
      <w:rPr>
        <w:rFonts w:asciiTheme="minorHAnsi" w:hAnsiTheme="minorHAnsi"/>
        <w:b/>
        <w:color w:val="FFFFFF" w:themeColor="background2"/>
        <w:sz w:val="22"/>
      </w:rPr>
      <w:tblPr/>
      <w:tcPr>
        <w:tcBorders>
          <w:left w:val="single" w:sz="18" w:space="0" w:color="FFFFFF" w:themeColor="background2"/>
        </w:tcBorders>
        <w:shd w:val="clear" w:color="auto" w:fill="1E4A76"/>
      </w:tcPr>
    </w:tblStylePr>
    <w:tblStylePr w:type="band1Vert">
      <w:rPr>
        <w:rFonts w:asciiTheme="minorHAnsi" w:hAnsiTheme="minorHAnsi"/>
        <w:sz w:val="22"/>
      </w:rPr>
      <w:tblPr/>
      <w:tcPr>
        <w:shd w:val="clear" w:color="auto" w:fill="CCD0D6"/>
      </w:tcPr>
    </w:tblStylePr>
    <w:tblStylePr w:type="band2Vert">
      <w:rPr>
        <w:rFonts w:asciiTheme="minorHAnsi" w:hAnsiTheme="minorHAnsi"/>
        <w:sz w:val="22"/>
      </w:rPr>
      <w:tblPr/>
      <w:tcPr>
        <w:shd w:val="clear" w:color="auto" w:fill="E7E9EC"/>
      </w:tcPr>
    </w:tblStylePr>
    <w:tblStylePr w:type="band1Horz">
      <w:rPr>
        <w:rFonts w:asciiTheme="minorHAnsi" w:hAnsiTheme="minorHAnsi"/>
        <w:sz w:val="22"/>
      </w:rPr>
      <w:tblPr/>
      <w:tcPr>
        <w:shd w:val="clear" w:color="auto" w:fill="CCD0D6"/>
      </w:tcPr>
    </w:tblStylePr>
    <w:tblStylePr w:type="band2Horz">
      <w:rPr>
        <w:rFonts w:asciiTheme="minorHAnsi" w:hAnsiTheme="minorHAnsi"/>
        <w:sz w:val="22"/>
      </w:rPr>
      <w:tblPr/>
      <w:tcPr>
        <w:shd w:val="clear" w:color="auto" w:fill="E7E9EC"/>
      </w:tcPr>
    </w:tblStylePr>
  </w:style>
  <w:style w:type="table" w:customStyle="1" w:styleId="RCMTabelleWordhell">
    <w:name w:val="RCM Tabelle Word hell"/>
    <w:basedOn w:val="NormaleTabelle"/>
    <w:uiPriority w:val="99"/>
    <w:qFormat/>
    <w:rsid w:val="00525A9C"/>
    <w:pPr>
      <w:spacing w:after="0"/>
    </w:pPr>
    <w:tblPr>
      <w:tblStyleRowBandSize w:val="1"/>
      <w:tblStyleColBandSize w:val="1"/>
      <w:tblInd w:w="0" w:type="dxa"/>
      <w:tblBorders>
        <w:bottom w:val="single" w:sz="8" w:space="0" w:color="FFFFFF" w:themeColor="background2"/>
        <w:insideH w:val="single" w:sz="8" w:space="0" w:color="FFFFFF" w:themeColor="background2"/>
      </w:tblBorders>
      <w:tblCellMar>
        <w:top w:w="0" w:type="dxa"/>
        <w:left w:w="108" w:type="dxa"/>
        <w:bottom w:w="0" w:type="dxa"/>
        <w:right w:w="108" w:type="dxa"/>
      </w:tblCellMar>
    </w:tblPr>
    <w:tcPr>
      <w:shd w:val="clear" w:color="auto" w:fill="FFFFFF" w:themeFill="background2"/>
    </w:tcPr>
    <w:tblStylePr w:type="firstRow">
      <w:rPr>
        <w:rFonts w:asciiTheme="minorHAnsi" w:hAnsiTheme="minorHAnsi"/>
        <w:b/>
        <w:sz w:val="22"/>
      </w:rPr>
      <w:tblPr/>
      <w:tcPr>
        <w:tcBorders>
          <w:top w:val="single" w:sz="12" w:space="0" w:color="1E4A76"/>
          <w:bottom w:val="single" w:sz="12" w:space="0" w:color="1E4A76"/>
        </w:tcBorders>
        <w:shd w:val="clear" w:color="auto" w:fill="FFFFFF" w:themeFill="background2"/>
      </w:tcPr>
    </w:tblStylePr>
    <w:tblStylePr w:type="lastRow">
      <w:rPr>
        <w:rFonts w:asciiTheme="minorHAnsi" w:hAnsiTheme="minorHAnsi"/>
        <w:b/>
        <w:sz w:val="22"/>
      </w:rPr>
      <w:tblPr/>
      <w:tcPr>
        <w:tcBorders>
          <w:top w:val="single" w:sz="12" w:space="0" w:color="1E4A76"/>
          <w:bottom w:val="single" w:sz="12" w:space="0" w:color="1E4A76"/>
        </w:tcBorders>
        <w:shd w:val="clear" w:color="auto" w:fill="FFFFFF" w:themeFill="background2"/>
      </w:tcPr>
    </w:tblStylePr>
    <w:tblStylePr w:type="firstCol">
      <w:rPr>
        <w:rFonts w:asciiTheme="minorHAnsi" w:hAnsiTheme="minorHAnsi"/>
        <w:b/>
        <w:sz w:val="22"/>
      </w:rPr>
    </w:tblStylePr>
    <w:tblStylePr w:type="lastCol">
      <w:rPr>
        <w:rFonts w:asciiTheme="minorHAnsi" w:hAnsiTheme="minorHAnsi"/>
        <w:b/>
        <w:sz w:val="22"/>
      </w:rPr>
    </w:tblStylePr>
    <w:tblStylePr w:type="band1Vert">
      <w:rPr>
        <w:rFonts w:asciiTheme="minorHAnsi" w:hAnsiTheme="minorHAnsi"/>
        <w:sz w:val="22"/>
      </w:rPr>
      <w:tblPr/>
      <w:tcPr>
        <w:shd w:val="clear" w:color="auto" w:fill="D2DBE4"/>
      </w:tcPr>
    </w:tblStylePr>
    <w:tblStylePr w:type="band2Vert">
      <w:rPr>
        <w:rFonts w:asciiTheme="minorHAnsi" w:hAnsiTheme="minorHAnsi"/>
        <w:sz w:val="22"/>
      </w:rPr>
      <w:tblPr/>
      <w:tcPr>
        <w:shd w:val="clear" w:color="auto" w:fill="FFFFFF"/>
      </w:tcPr>
    </w:tblStylePr>
    <w:tblStylePr w:type="band1Horz">
      <w:rPr>
        <w:rFonts w:asciiTheme="minorHAnsi" w:hAnsiTheme="minorHAnsi"/>
        <w:sz w:val="22"/>
      </w:rPr>
      <w:tblPr/>
      <w:tcPr>
        <w:shd w:val="clear" w:color="auto" w:fill="D2DBE4"/>
      </w:tcPr>
    </w:tblStylePr>
    <w:tblStylePr w:type="band2Horz">
      <w:rPr>
        <w:rFonts w:asciiTheme="minorHAnsi" w:hAnsiTheme="minorHAnsi"/>
        <w:sz w:val="22"/>
      </w:rPr>
      <w:tblPr/>
      <w:tcPr>
        <w:shd w:val="clear" w:color="auto" w:fill="FFFFFF"/>
      </w:tcPr>
    </w:tblStylePr>
  </w:style>
  <w:style w:type="table" w:customStyle="1" w:styleId="RVVTabelleWorddunkel">
    <w:name w:val="RVV Tabelle Word dunkel"/>
    <w:basedOn w:val="RCMTabelleWorddunkel"/>
    <w:uiPriority w:val="99"/>
    <w:qFormat/>
    <w:rsid w:val="001E3000"/>
    <w:tblPr>
      <w:tblStyleRowBandSize w:val="1"/>
      <w:tblStyleColBandSize w:val="1"/>
      <w:tblInd w:w="0"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0" w:type="dxa"/>
        <w:left w:w="108" w:type="dxa"/>
        <w:bottom w:w="0" w:type="dxa"/>
        <w:right w:w="108" w:type="dxa"/>
      </w:tblCellMar>
    </w:tblPr>
    <w:tcPr>
      <w:shd w:val="clear" w:color="auto" w:fill="EAEDE8"/>
    </w:tcPr>
    <w:tblStylePr w:type="firstRow">
      <w:rPr>
        <w:rFonts w:asciiTheme="minorHAnsi" w:hAnsiTheme="minorHAnsi"/>
        <w:b/>
        <w:color w:val="FFFFFF" w:themeColor="background2"/>
        <w:sz w:val="22"/>
      </w:rPr>
      <w:tblPr/>
      <w:tcPr>
        <w:tcBorders>
          <w:top w:val="single" w:sz="8" w:space="0" w:color="FFFFFF" w:themeColor="background2"/>
          <w:left w:val="single" w:sz="8" w:space="0" w:color="FFFFFF" w:themeColor="background2"/>
          <w:bottom w:val="single" w:sz="18" w:space="0" w:color="FFFFFF" w:themeColor="background2"/>
          <w:right w:val="single" w:sz="8" w:space="0" w:color="FFFFFF" w:themeColor="background2"/>
          <w:insideH w:val="single" w:sz="8" w:space="0" w:color="FFFFFF" w:themeColor="background2"/>
          <w:insideV w:val="single" w:sz="8" w:space="0" w:color="FFFFFF" w:themeColor="background2"/>
        </w:tcBorders>
        <w:shd w:val="clear" w:color="auto" w:fill="5C8028"/>
      </w:tcPr>
    </w:tblStylePr>
    <w:tblStylePr w:type="lastRow">
      <w:rPr>
        <w:rFonts w:asciiTheme="minorHAnsi" w:hAnsiTheme="minorHAnsi"/>
        <w:b/>
        <w:color w:val="FFFFFF" w:themeColor="background2"/>
        <w:sz w:val="22"/>
      </w:rPr>
      <w:tblPr/>
      <w:tcPr>
        <w:tcBorders>
          <w:top w:val="single" w:sz="1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cBorders>
        <w:shd w:val="clear" w:color="auto" w:fill="5C8028"/>
      </w:tcPr>
    </w:tblStylePr>
    <w:tblStylePr w:type="firstCol">
      <w:rPr>
        <w:rFonts w:asciiTheme="minorHAnsi" w:hAnsiTheme="minorHAnsi"/>
        <w:b/>
        <w:color w:val="FFFFFF" w:themeColor="background2"/>
        <w:sz w:val="22"/>
      </w:rPr>
      <w:tblPr/>
      <w:tcPr>
        <w:tcBorders>
          <w:right w:val="single" w:sz="18" w:space="0" w:color="FFFFFF" w:themeColor="background2"/>
        </w:tcBorders>
        <w:shd w:val="clear" w:color="auto" w:fill="5C8028"/>
      </w:tcPr>
    </w:tblStylePr>
    <w:tblStylePr w:type="lastCol">
      <w:rPr>
        <w:rFonts w:asciiTheme="minorHAnsi" w:hAnsiTheme="minorHAnsi"/>
        <w:b/>
        <w:color w:val="FFFFFF" w:themeColor="background2"/>
        <w:sz w:val="22"/>
      </w:rPr>
      <w:tblPr/>
      <w:tcPr>
        <w:tcBorders>
          <w:left w:val="single" w:sz="18" w:space="0" w:color="FFFFFF" w:themeColor="background2"/>
        </w:tcBorders>
        <w:shd w:val="clear" w:color="auto" w:fill="5C8028"/>
      </w:tcPr>
    </w:tblStylePr>
    <w:tblStylePr w:type="band1Vert">
      <w:rPr>
        <w:rFonts w:asciiTheme="minorHAnsi" w:hAnsiTheme="minorHAnsi"/>
        <w:sz w:val="22"/>
      </w:rPr>
      <w:tblPr/>
      <w:tcPr>
        <w:shd w:val="clear" w:color="auto" w:fill="D2D8CD"/>
      </w:tcPr>
    </w:tblStylePr>
    <w:tblStylePr w:type="band2Vert">
      <w:rPr>
        <w:rFonts w:asciiTheme="minorHAnsi" w:hAnsiTheme="minorHAnsi"/>
        <w:sz w:val="22"/>
      </w:rPr>
      <w:tblPr/>
      <w:tcPr>
        <w:shd w:val="clear" w:color="auto" w:fill="E7EDE8"/>
      </w:tcPr>
    </w:tblStylePr>
    <w:tblStylePr w:type="band1Horz">
      <w:rPr>
        <w:rFonts w:asciiTheme="minorHAnsi" w:hAnsiTheme="minorHAnsi"/>
        <w:sz w:val="22"/>
      </w:rPr>
      <w:tblPr/>
      <w:tcPr>
        <w:shd w:val="clear" w:color="auto" w:fill="D2D8CD"/>
      </w:tcPr>
    </w:tblStylePr>
    <w:tblStylePr w:type="band2Horz">
      <w:rPr>
        <w:rFonts w:asciiTheme="minorHAnsi" w:hAnsiTheme="minorHAnsi"/>
        <w:sz w:val="22"/>
      </w:rPr>
      <w:tblPr/>
      <w:tcPr>
        <w:shd w:val="clear" w:color="auto" w:fill="E7E9EC"/>
      </w:tcPr>
    </w:tblStylePr>
  </w:style>
  <w:style w:type="table" w:customStyle="1" w:styleId="RVVTabelleWordhell">
    <w:name w:val="RVV Tabelle Word hell"/>
    <w:basedOn w:val="RCMTabelleWordhell"/>
    <w:uiPriority w:val="99"/>
    <w:qFormat/>
    <w:rsid w:val="00525A9C"/>
    <w:tblPr>
      <w:tblStyleRowBandSize w:val="1"/>
      <w:tblStyleColBandSize w:val="1"/>
      <w:tblInd w:w="0" w:type="dxa"/>
      <w:tblBorders>
        <w:bottom w:val="single" w:sz="8" w:space="0" w:color="FFFFFF" w:themeColor="background2"/>
        <w:insideH w:val="single" w:sz="8" w:space="0" w:color="FFFFFF" w:themeColor="background2"/>
      </w:tblBorders>
      <w:tblCellMar>
        <w:top w:w="0" w:type="dxa"/>
        <w:left w:w="108" w:type="dxa"/>
        <w:bottom w:w="0" w:type="dxa"/>
        <w:right w:w="108" w:type="dxa"/>
      </w:tblCellMar>
    </w:tblPr>
    <w:tcPr>
      <w:shd w:val="clear" w:color="auto" w:fill="FFFFFF" w:themeFill="background2"/>
    </w:tcPr>
    <w:tblStylePr w:type="firstRow">
      <w:rPr>
        <w:rFonts w:asciiTheme="minorHAnsi" w:hAnsiTheme="minorHAnsi"/>
        <w:b/>
        <w:sz w:val="22"/>
      </w:rPr>
      <w:tblPr/>
      <w:tcPr>
        <w:tcBorders>
          <w:top w:val="single" w:sz="12" w:space="0" w:color="5C8028"/>
          <w:bottom w:val="single" w:sz="12" w:space="0" w:color="5C8028"/>
        </w:tcBorders>
        <w:shd w:val="clear" w:color="auto" w:fill="FFFFFF" w:themeFill="background2"/>
      </w:tcPr>
    </w:tblStylePr>
    <w:tblStylePr w:type="lastRow">
      <w:rPr>
        <w:rFonts w:asciiTheme="minorHAnsi" w:hAnsiTheme="minorHAnsi"/>
        <w:b/>
        <w:sz w:val="22"/>
      </w:rPr>
      <w:tblPr/>
      <w:tcPr>
        <w:tcBorders>
          <w:top w:val="single" w:sz="12" w:space="0" w:color="5C8028"/>
          <w:bottom w:val="single" w:sz="12" w:space="0" w:color="5C8028"/>
        </w:tcBorders>
        <w:shd w:val="clear" w:color="auto" w:fill="FFFFFF" w:themeFill="background2"/>
      </w:tcPr>
    </w:tblStylePr>
    <w:tblStylePr w:type="firstCol">
      <w:rPr>
        <w:rFonts w:asciiTheme="minorHAnsi" w:hAnsiTheme="minorHAnsi"/>
        <w:b/>
        <w:sz w:val="22"/>
      </w:rPr>
    </w:tblStylePr>
    <w:tblStylePr w:type="lastCol">
      <w:rPr>
        <w:rFonts w:asciiTheme="minorHAnsi" w:hAnsiTheme="minorHAnsi"/>
        <w:b/>
        <w:sz w:val="22"/>
      </w:rPr>
    </w:tblStylePr>
    <w:tblStylePr w:type="band1Vert">
      <w:rPr>
        <w:rFonts w:asciiTheme="minorHAnsi" w:hAnsiTheme="minorHAnsi"/>
        <w:sz w:val="22"/>
      </w:rPr>
      <w:tblPr/>
      <w:tcPr>
        <w:shd w:val="clear" w:color="auto" w:fill="DEE6E4"/>
      </w:tcPr>
    </w:tblStylePr>
    <w:tblStylePr w:type="band2Vert">
      <w:rPr>
        <w:rFonts w:asciiTheme="minorHAnsi" w:hAnsiTheme="minorHAnsi"/>
        <w:sz w:val="22"/>
      </w:rPr>
      <w:tblPr/>
      <w:tcPr>
        <w:shd w:val="clear" w:color="auto" w:fill="FFFFFF"/>
      </w:tcPr>
    </w:tblStylePr>
    <w:tblStylePr w:type="band1Horz">
      <w:rPr>
        <w:rFonts w:asciiTheme="minorHAnsi" w:hAnsiTheme="minorHAnsi"/>
        <w:sz w:val="22"/>
      </w:rPr>
      <w:tblPr/>
      <w:tcPr>
        <w:shd w:val="clear" w:color="auto" w:fill="DEE6D4"/>
      </w:tcPr>
    </w:tblStylePr>
    <w:tblStylePr w:type="band2Horz">
      <w:rPr>
        <w:rFonts w:asciiTheme="minorHAnsi" w:hAnsiTheme="minorHAnsi"/>
        <w:sz w:val="22"/>
      </w:rPr>
      <w:tblPr/>
      <w:tcPr>
        <w:shd w:val="clear" w:color="auto" w:fill="FFFFFF"/>
      </w:tcPr>
    </w:tblStylePr>
  </w:style>
  <w:style w:type="paragraph" w:customStyle="1" w:styleId="RCMberschrift1">
    <w:name w:val="RCM_Überschrift 1"/>
    <w:basedOn w:val="Listenabsatz"/>
    <w:next w:val="Standard"/>
    <w:qFormat/>
    <w:rsid w:val="007A4054"/>
    <w:pPr>
      <w:tabs>
        <w:tab w:val="num" w:pos="720"/>
      </w:tabs>
      <w:ind w:left="340" w:hanging="340"/>
    </w:pPr>
    <w:rPr>
      <w:rFonts w:asciiTheme="majorHAnsi" w:hAnsiTheme="majorHAnsi"/>
      <w:sz w:val="28"/>
    </w:rPr>
  </w:style>
  <w:style w:type="paragraph" w:styleId="Listenabsatz">
    <w:name w:val="List Paragraph"/>
    <w:basedOn w:val="Standard"/>
    <w:uiPriority w:val="34"/>
    <w:unhideWhenUsed/>
    <w:qFormat/>
    <w:rsid w:val="00FD3EE8"/>
    <w:pPr>
      <w:ind w:left="720"/>
      <w:contextualSpacing/>
    </w:pPr>
  </w:style>
  <w:style w:type="paragraph" w:customStyle="1" w:styleId="RCMberschrift2">
    <w:name w:val="RCM_Überschrift 2"/>
    <w:basedOn w:val="Listenabsatz"/>
    <w:next w:val="Standard"/>
    <w:qFormat/>
    <w:rsid w:val="007A4054"/>
    <w:pPr>
      <w:tabs>
        <w:tab w:val="num" w:pos="1440"/>
      </w:tabs>
      <w:ind w:left="510" w:hanging="510"/>
    </w:pPr>
    <w:rPr>
      <w:rFonts w:asciiTheme="majorHAnsi" w:hAnsiTheme="majorHAnsi"/>
      <w:sz w:val="24"/>
    </w:rPr>
  </w:style>
  <w:style w:type="paragraph" w:customStyle="1" w:styleId="RCMberschrift3">
    <w:name w:val="RCM_Überschrift 3"/>
    <w:basedOn w:val="Listenabsatz"/>
    <w:next w:val="Standard"/>
    <w:qFormat/>
    <w:rsid w:val="007A4054"/>
    <w:pPr>
      <w:tabs>
        <w:tab w:val="num" w:pos="2160"/>
      </w:tabs>
      <w:ind w:left="624" w:hanging="624"/>
    </w:pPr>
    <w:rPr>
      <w:rFonts w:asciiTheme="majorHAnsi" w:hAnsiTheme="majorHAnsi"/>
    </w:rPr>
  </w:style>
  <w:style w:type="paragraph" w:customStyle="1" w:styleId="RCM-berschrift4">
    <w:name w:val="RCM-Überschrift 4"/>
    <w:basedOn w:val="Listenabsatz"/>
    <w:next w:val="Standard"/>
    <w:qFormat/>
    <w:rsid w:val="00FD3EE8"/>
    <w:pPr>
      <w:tabs>
        <w:tab w:val="num" w:pos="2880"/>
      </w:tabs>
      <w:ind w:left="851" w:hanging="851"/>
    </w:pPr>
    <w:rPr>
      <w:rFonts w:asciiTheme="majorHAnsi" w:hAnsiTheme="majorHAnsi"/>
    </w:rPr>
  </w:style>
  <w:style w:type="paragraph" w:styleId="Kopfzeile">
    <w:name w:val="header"/>
    <w:basedOn w:val="Standard"/>
    <w:link w:val="KopfzeileZchn"/>
    <w:unhideWhenUsed/>
    <w:rsid w:val="0059039D"/>
    <w:pPr>
      <w:tabs>
        <w:tab w:val="center" w:pos="4536"/>
        <w:tab w:val="right" w:pos="9072"/>
      </w:tabs>
    </w:pPr>
  </w:style>
  <w:style w:type="character" w:customStyle="1" w:styleId="KopfzeileZchn">
    <w:name w:val="Kopfzeile Zchn"/>
    <w:basedOn w:val="Absatz-Standardschriftart"/>
    <w:link w:val="Kopfzeile"/>
    <w:uiPriority w:val="99"/>
    <w:semiHidden/>
    <w:rsid w:val="0059039D"/>
  </w:style>
  <w:style w:type="paragraph" w:styleId="Fuzeile">
    <w:name w:val="footer"/>
    <w:basedOn w:val="Standard"/>
    <w:link w:val="FuzeileZchn"/>
    <w:uiPriority w:val="99"/>
    <w:unhideWhenUsed/>
    <w:rsid w:val="0059039D"/>
    <w:pPr>
      <w:tabs>
        <w:tab w:val="center" w:pos="4536"/>
        <w:tab w:val="right" w:pos="9072"/>
      </w:tabs>
    </w:pPr>
  </w:style>
  <w:style w:type="character" w:customStyle="1" w:styleId="FuzeileZchn">
    <w:name w:val="Fußzeile Zchn"/>
    <w:basedOn w:val="Absatz-Standardschriftart"/>
    <w:link w:val="Fuzeile"/>
    <w:uiPriority w:val="99"/>
    <w:rsid w:val="0059039D"/>
  </w:style>
  <w:style w:type="character" w:styleId="Kommentarzeichen">
    <w:name w:val="annotation reference"/>
    <w:basedOn w:val="Absatz-Standardschriftart"/>
    <w:uiPriority w:val="99"/>
    <w:semiHidden/>
    <w:unhideWhenUsed/>
    <w:rsid w:val="00943AA1"/>
    <w:rPr>
      <w:sz w:val="16"/>
      <w:szCs w:val="16"/>
    </w:rPr>
  </w:style>
  <w:style w:type="paragraph" w:styleId="Kommentartext">
    <w:name w:val="annotation text"/>
    <w:basedOn w:val="Standard"/>
    <w:link w:val="KommentartextZchn"/>
    <w:uiPriority w:val="99"/>
    <w:unhideWhenUsed/>
    <w:rsid w:val="00943AA1"/>
    <w:pPr>
      <w:spacing w:line="240" w:lineRule="auto"/>
    </w:pPr>
    <w:rPr>
      <w:sz w:val="20"/>
      <w:szCs w:val="20"/>
    </w:rPr>
  </w:style>
  <w:style w:type="character" w:customStyle="1" w:styleId="KommentartextZchn">
    <w:name w:val="Kommentartext Zchn"/>
    <w:basedOn w:val="Absatz-Standardschriftart"/>
    <w:link w:val="Kommentartext"/>
    <w:uiPriority w:val="99"/>
    <w:rsid w:val="00943AA1"/>
    <w:rPr>
      <w:sz w:val="20"/>
      <w:szCs w:val="20"/>
      <w:lang w:val="de-DE"/>
    </w:rPr>
  </w:style>
  <w:style w:type="paragraph" w:styleId="Kommentarthema">
    <w:name w:val="annotation subject"/>
    <w:basedOn w:val="Kommentartext"/>
    <w:next w:val="Kommentartext"/>
    <w:link w:val="KommentarthemaZchn"/>
    <w:uiPriority w:val="99"/>
    <w:semiHidden/>
    <w:unhideWhenUsed/>
    <w:rsid w:val="00943AA1"/>
    <w:rPr>
      <w:b/>
      <w:bCs/>
    </w:rPr>
  </w:style>
  <w:style w:type="character" w:customStyle="1" w:styleId="KommentarthemaZchn">
    <w:name w:val="Kommentarthema Zchn"/>
    <w:basedOn w:val="KommentartextZchn"/>
    <w:link w:val="Kommentarthema"/>
    <w:uiPriority w:val="99"/>
    <w:semiHidden/>
    <w:rsid w:val="00943AA1"/>
    <w:rPr>
      <w:b/>
      <w:bCs/>
      <w:sz w:val="20"/>
      <w:szCs w:val="20"/>
      <w:lang w:val="de-DE"/>
    </w:rPr>
  </w:style>
  <w:style w:type="paragraph" w:styleId="Funotentext">
    <w:name w:val="footnote text"/>
    <w:basedOn w:val="Standard"/>
    <w:link w:val="FunotentextZchn"/>
    <w:semiHidden/>
    <w:unhideWhenUsed/>
    <w:rsid w:val="00943AA1"/>
    <w:pPr>
      <w:spacing w:line="240" w:lineRule="auto"/>
    </w:pPr>
    <w:rPr>
      <w:sz w:val="20"/>
      <w:szCs w:val="20"/>
    </w:rPr>
  </w:style>
  <w:style w:type="character" w:customStyle="1" w:styleId="FunotentextZchn">
    <w:name w:val="Fußnotentext Zchn"/>
    <w:basedOn w:val="Absatz-Standardschriftart"/>
    <w:link w:val="Funotentext"/>
    <w:uiPriority w:val="99"/>
    <w:semiHidden/>
    <w:rsid w:val="00943AA1"/>
    <w:rPr>
      <w:sz w:val="20"/>
      <w:szCs w:val="20"/>
      <w:lang w:val="de-DE"/>
    </w:rPr>
  </w:style>
  <w:style w:type="character" w:styleId="Funotenzeichen">
    <w:name w:val="footnote reference"/>
    <w:basedOn w:val="Absatz-Standardschriftart"/>
    <w:semiHidden/>
    <w:unhideWhenUsed/>
    <w:rsid w:val="00943AA1"/>
    <w:rPr>
      <w:vertAlign w:val="superscript"/>
    </w:rPr>
  </w:style>
  <w:style w:type="paragraph" w:customStyle="1" w:styleId="51Abs">
    <w:name w:val="51_Abs"/>
    <w:basedOn w:val="Standard"/>
    <w:qFormat/>
    <w:rsid w:val="00943AA1"/>
    <w:pPr>
      <w:spacing w:before="80" w:line="220" w:lineRule="exact"/>
      <w:ind w:left="0" w:firstLine="397"/>
    </w:pPr>
    <w:rPr>
      <w:rFonts w:ascii="Times New Roman" w:eastAsia="Times New Roman" w:hAnsi="Times New Roman" w:cs="Times New Roman"/>
      <w:snapToGrid w:val="0"/>
      <w:color w:val="000000"/>
      <w:sz w:val="20"/>
      <w:szCs w:val="20"/>
      <w:lang w:eastAsia="de-DE"/>
    </w:rPr>
  </w:style>
  <w:style w:type="paragraph" w:customStyle="1" w:styleId="Paragr-berschr">
    <w:name w:val="Paragr-Überschr"/>
    <w:basedOn w:val="Standard"/>
    <w:uiPriority w:val="99"/>
    <w:rsid w:val="00943AA1"/>
    <w:pPr>
      <w:keepNext/>
      <w:suppressAutoHyphens/>
      <w:spacing w:before="480" w:after="360"/>
      <w:ind w:left="0" w:firstLine="0"/>
      <w:jc w:val="center"/>
    </w:pPr>
    <w:rPr>
      <w:rFonts w:ascii="Arial" w:eastAsia="Times New Roman" w:hAnsi="Arial" w:cs="Times New Roman"/>
      <w:b/>
      <w:sz w:val="24"/>
      <w:szCs w:val="20"/>
      <w:lang w:eastAsia="de-DE"/>
    </w:rPr>
  </w:style>
  <w:style w:type="paragraph" w:customStyle="1" w:styleId="Bearb-Hinweis">
    <w:name w:val="Bearb-Hinweis"/>
    <w:basedOn w:val="Standard"/>
    <w:uiPriority w:val="99"/>
    <w:rsid w:val="00943AA1"/>
    <w:pPr>
      <w:shd w:val="pct10" w:color="auto" w:fill="auto"/>
      <w:spacing w:after="360"/>
      <w:ind w:left="0" w:right="567" w:firstLine="0"/>
    </w:pPr>
    <w:rPr>
      <w:rFonts w:ascii="Arial" w:eastAsia="Times New Roman" w:hAnsi="Arial" w:cs="Times New Roman"/>
      <w:szCs w:val="20"/>
      <w:lang w:eastAsia="de-DE"/>
    </w:rPr>
  </w:style>
  <w:style w:type="paragraph" w:styleId="Textkrper-Zeileneinzug">
    <w:name w:val="Body Text Indent"/>
    <w:basedOn w:val="Standard"/>
    <w:link w:val="Textkrper-ZeileneinzugZchn"/>
    <w:uiPriority w:val="99"/>
    <w:rsid w:val="00943AA1"/>
    <w:pPr>
      <w:spacing w:line="240" w:lineRule="auto"/>
      <w:ind w:left="426" w:firstLine="0"/>
      <w:jc w:val="left"/>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uiPriority w:val="99"/>
    <w:rsid w:val="00943AA1"/>
    <w:rPr>
      <w:rFonts w:ascii="Arial" w:eastAsia="Times New Roman" w:hAnsi="Arial" w:cs="Times New Roman"/>
      <w:szCs w:val="20"/>
      <w:lang w:val="de-DE" w:eastAsia="de-DE"/>
    </w:rPr>
  </w:style>
  <w:style w:type="paragraph" w:styleId="berarbeitung">
    <w:name w:val="Revision"/>
    <w:hidden/>
    <w:uiPriority w:val="99"/>
    <w:semiHidden/>
    <w:rsid w:val="00943AA1"/>
    <w:pPr>
      <w:spacing w:after="0"/>
    </w:pPr>
    <w:rPr>
      <w:lang w:val="de-DE"/>
    </w:rPr>
  </w:style>
  <w:style w:type="paragraph" w:customStyle="1" w:styleId="FuzeileGltigkeitsdatumSeite">
    <w:name w:val="Fußzeile (Gültigkeitsdatum &amp; Seite)"/>
    <w:basedOn w:val="Standard"/>
    <w:semiHidden/>
    <w:rsid w:val="006E0EB0"/>
    <w:pPr>
      <w:spacing w:line="240" w:lineRule="exact"/>
      <w:ind w:left="0" w:firstLine="0"/>
      <w:jc w:val="left"/>
    </w:pPr>
    <w:rPr>
      <w:rFonts w:ascii="Swis721 Lt BT" w:eastAsia="Times New Roman" w:hAnsi="Swis721 Lt BT" w:cs="Times New Roman"/>
      <w:sz w:val="15"/>
      <w:szCs w:val="20"/>
      <w:lang w:eastAsia="de-DE"/>
    </w:rPr>
  </w:style>
  <w:style w:type="paragraph" w:customStyle="1" w:styleId="FuzeileFondsname">
    <w:name w:val="Fußzeile (Fondsname)"/>
    <w:basedOn w:val="Standard"/>
    <w:semiHidden/>
    <w:rsid w:val="006E0EB0"/>
    <w:pPr>
      <w:spacing w:line="240" w:lineRule="exact"/>
      <w:ind w:left="0" w:firstLine="0"/>
      <w:jc w:val="left"/>
    </w:pPr>
    <w:rPr>
      <w:rFonts w:ascii="Swis721 Md BT" w:eastAsia="Times New Roman" w:hAnsi="Swis721 Md BT" w:cs="Times New Roman"/>
      <w:sz w:val="15"/>
      <w:szCs w:val="20"/>
      <w:lang w:eastAsia="de-DE"/>
    </w:rPr>
  </w:style>
  <w:style w:type="character" w:styleId="Hyperlink">
    <w:name w:val="Hyperlink"/>
    <w:basedOn w:val="Absatz-Standardschriftart"/>
    <w:uiPriority w:val="99"/>
    <w:rsid w:val="00B24370"/>
    <w:rPr>
      <w:color w:val="0000FF"/>
      <w:u w:val="single"/>
    </w:rPr>
  </w:style>
  <w:style w:type="paragraph" w:styleId="Textkrper-Einzug2">
    <w:name w:val="Body Text Indent 2"/>
    <w:basedOn w:val="Standard"/>
    <w:link w:val="Textkrper-Einzug2Zchn"/>
    <w:uiPriority w:val="99"/>
    <w:semiHidden/>
    <w:unhideWhenUsed/>
    <w:rsid w:val="006F134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1346"/>
    <w:rPr>
      <w:lang w:val="de-DE"/>
    </w:rPr>
  </w:style>
  <w:style w:type="character" w:styleId="BesuchterHyperlink">
    <w:name w:val="FollowedHyperlink"/>
    <w:basedOn w:val="Absatz-Standardschriftart"/>
    <w:uiPriority w:val="99"/>
    <w:semiHidden/>
    <w:unhideWhenUsed/>
    <w:rsid w:val="004D2A37"/>
    <w:rPr>
      <w:color w:val="B9B9B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943AA1"/>
    <w:pPr>
      <w:spacing w:after="0" w:line="360" w:lineRule="auto"/>
      <w:ind w:left="1134" w:hanging="1134"/>
      <w:jc w:val="both"/>
    </w:pPr>
    <w:rPr>
      <w:lang w:val="de-DE"/>
    </w:rPr>
  </w:style>
  <w:style w:type="paragraph" w:styleId="berschrift1">
    <w:name w:val="heading 1"/>
    <w:basedOn w:val="Listenabsatz"/>
    <w:next w:val="Standard"/>
    <w:link w:val="berschrift1Zchn"/>
    <w:uiPriority w:val="9"/>
    <w:semiHidden/>
    <w:rsid w:val="00442DEB"/>
    <w:pPr>
      <w:keepNext/>
      <w:keepLines/>
      <w:tabs>
        <w:tab w:val="num" w:pos="420"/>
      </w:tabs>
      <w:ind w:left="357" w:hanging="357"/>
      <w:outlineLvl w:val="0"/>
    </w:pPr>
    <w:rPr>
      <w:rFonts w:asciiTheme="majorHAnsi" w:eastAsiaTheme="majorEastAsia" w:hAnsiTheme="majorHAnsi" w:cstheme="majorBidi"/>
      <w:bCs/>
      <w:sz w:val="28"/>
      <w:szCs w:val="28"/>
    </w:rPr>
  </w:style>
  <w:style w:type="paragraph" w:styleId="berschrift2">
    <w:name w:val="heading 2"/>
    <w:basedOn w:val="Listenabsatz"/>
    <w:next w:val="Standard"/>
    <w:link w:val="berschrift2Zchn"/>
    <w:uiPriority w:val="9"/>
    <w:semiHidden/>
    <w:qFormat/>
    <w:rsid w:val="00442DEB"/>
    <w:pPr>
      <w:keepNext/>
      <w:keepLines/>
      <w:tabs>
        <w:tab w:val="num" w:pos="360"/>
      </w:tabs>
      <w:ind w:left="360" w:hanging="360"/>
      <w:outlineLvl w:val="1"/>
    </w:pPr>
    <w:rPr>
      <w:rFonts w:asciiTheme="majorHAnsi" w:eastAsiaTheme="majorEastAsia" w:hAnsiTheme="majorHAnsi" w:cstheme="majorBidi"/>
      <w:bCs/>
      <w:color w:val="000000" w:themeColor="text1"/>
      <w:sz w:val="24"/>
      <w:szCs w:val="26"/>
    </w:rPr>
  </w:style>
  <w:style w:type="paragraph" w:styleId="berschrift3">
    <w:name w:val="heading 3"/>
    <w:basedOn w:val="Listenabsatz"/>
    <w:next w:val="Standard"/>
    <w:link w:val="berschrift3Zchn"/>
    <w:uiPriority w:val="9"/>
    <w:semiHidden/>
    <w:qFormat/>
    <w:rsid w:val="00442DEB"/>
    <w:pPr>
      <w:keepNext/>
      <w:keepLines/>
      <w:tabs>
        <w:tab w:val="num" w:pos="360"/>
      </w:tabs>
      <w:ind w:left="709" w:hanging="709"/>
      <w:outlineLvl w:val="2"/>
    </w:pPr>
    <w:rPr>
      <w:rFonts w:asciiTheme="majorHAnsi" w:eastAsiaTheme="majorEastAsia" w:hAnsiTheme="majorHAnsi" w:cstheme="majorBidi"/>
      <w:bCs/>
      <w:color w:val="000000" w:themeColor="text1"/>
    </w:rPr>
  </w:style>
  <w:style w:type="paragraph" w:styleId="berschrift4">
    <w:name w:val="heading 4"/>
    <w:basedOn w:val="Standard"/>
    <w:next w:val="Standard"/>
    <w:link w:val="berschrift4Zchn"/>
    <w:uiPriority w:val="9"/>
    <w:semiHidden/>
    <w:qFormat/>
    <w:rsid w:val="00533C13"/>
    <w:pPr>
      <w:keepNext/>
      <w:keepLines/>
      <w:tabs>
        <w:tab w:val="num" w:pos="360"/>
      </w:tabs>
      <w:ind w:left="851" w:hanging="851"/>
      <w:outlineLvl w:val="3"/>
    </w:pPr>
    <w:rPr>
      <w:rFonts w:asciiTheme="majorHAnsi" w:eastAsiaTheme="majorEastAsia" w:hAnsiTheme="majorHAnsi"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FD3EE8"/>
    <w:rPr>
      <w:rFonts w:asciiTheme="majorHAnsi" w:eastAsiaTheme="majorEastAsia" w:hAnsiTheme="majorHAnsi" w:cstheme="majorBidi"/>
      <w:bCs/>
      <w:sz w:val="28"/>
      <w:szCs w:val="28"/>
    </w:rPr>
  </w:style>
  <w:style w:type="paragraph" w:customStyle="1" w:styleId="StandardMengentext">
    <w:name w:val="Standard Mengentext"/>
    <w:basedOn w:val="Standard"/>
    <w:semiHidden/>
    <w:unhideWhenUsed/>
    <w:rsid w:val="00442DEB"/>
    <w:rPr>
      <w:rFonts w:ascii="Swis721 Lt BT" w:eastAsia="Times New Roman" w:hAnsi="Swis721 Lt BT" w:cs="Times New Roman"/>
      <w:szCs w:val="24"/>
      <w:lang w:eastAsia="de-DE"/>
    </w:rPr>
  </w:style>
  <w:style w:type="paragraph" w:styleId="Sprechblasentext">
    <w:name w:val="Balloon Text"/>
    <w:basedOn w:val="Standard"/>
    <w:link w:val="SprechblasentextZchn"/>
    <w:uiPriority w:val="99"/>
    <w:semiHidden/>
    <w:unhideWhenUsed/>
    <w:rsid w:val="00442D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C13"/>
    <w:rPr>
      <w:rFonts w:ascii="Tahoma" w:hAnsi="Tahoma" w:cs="Tahoma"/>
      <w:sz w:val="16"/>
      <w:szCs w:val="16"/>
    </w:rPr>
  </w:style>
  <w:style w:type="character" w:customStyle="1" w:styleId="berschrift2Zchn">
    <w:name w:val="Überschrift 2 Zchn"/>
    <w:basedOn w:val="Absatz-Standardschriftart"/>
    <w:link w:val="berschrift2"/>
    <w:uiPriority w:val="9"/>
    <w:semiHidden/>
    <w:rsid w:val="00FD3EE8"/>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
    <w:semiHidden/>
    <w:rsid w:val="00FD3EE8"/>
    <w:rPr>
      <w:rFonts w:asciiTheme="majorHAnsi" w:eastAsiaTheme="majorEastAsia" w:hAnsiTheme="majorHAnsi" w:cstheme="majorBidi"/>
      <w:bCs/>
      <w:color w:val="000000" w:themeColor="text1"/>
    </w:rPr>
  </w:style>
  <w:style w:type="character" w:customStyle="1" w:styleId="berschrift4Zchn">
    <w:name w:val="Überschrift 4 Zchn"/>
    <w:basedOn w:val="Absatz-Standardschriftart"/>
    <w:link w:val="berschrift4"/>
    <w:uiPriority w:val="9"/>
    <w:semiHidden/>
    <w:rsid w:val="00FD3EE8"/>
    <w:rPr>
      <w:rFonts w:asciiTheme="majorHAnsi" w:eastAsiaTheme="majorEastAsia" w:hAnsiTheme="majorHAnsi" w:cstheme="majorBidi"/>
      <w:bCs/>
      <w:iCs/>
      <w:color w:val="000000" w:themeColor="text1"/>
    </w:rPr>
  </w:style>
  <w:style w:type="paragraph" w:styleId="Titel">
    <w:name w:val="Title"/>
    <w:basedOn w:val="Standard"/>
    <w:next w:val="Standard"/>
    <w:link w:val="TitelZchn"/>
    <w:qFormat/>
    <w:rsid w:val="00533C13"/>
    <w:pPr>
      <w:spacing w:after="120"/>
      <w:contextualSpacing/>
    </w:pPr>
    <w:rPr>
      <w:rFonts w:asciiTheme="majorHAnsi" w:eastAsiaTheme="majorEastAsia" w:hAnsiTheme="majorHAnsi" w:cstheme="majorBidi"/>
      <w:color w:val="000000" w:themeColor="text1"/>
      <w:spacing w:val="5"/>
      <w:kern w:val="28"/>
      <w:sz w:val="32"/>
      <w:szCs w:val="52"/>
    </w:rPr>
  </w:style>
  <w:style w:type="character" w:customStyle="1" w:styleId="TitelZchn">
    <w:name w:val="Titel Zchn"/>
    <w:basedOn w:val="Absatz-Standardschriftart"/>
    <w:link w:val="Titel"/>
    <w:rsid w:val="00533C13"/>
    <w:rPr>
      <w:rFonts w:asciiTheme="majorHAnsi" w:eastAsiaTheme="majorEastAsia" w:hAnsiTheme="majorHAnsi" w:cstheme="majorBidi"/>
      <w:color w:val="000000" w:themeColor="text1"/>
      <w:spacing w:val="5"/>
      <w:kern w:val="28"/>
      <w:sz w:val="32"/>
      <w:szCs w:val="52"/>
    </w:rPr>
  </w:style>
  <w:style w:type="paragraph" w:styleId="Untertitel">
    <w:name w:val="Subtitle"/>
    <w:basedOn w:val="Standard"/>
    <w:next w:val="Standard"/>
    <w:link w:val="UntertitelZchn"/>
    <w:uiPriority w:val="11"/>
    <w:qFormat/>
    <w:rsid w:val="00533C13"/>
    <w:pPr>
      <w:numPr>
        <w:ilvl w:val="1"/>
      </w:numPr>
      <w:spacing w:after="120"/>
      <w:ind w:left="1134" w:hanging="1134"/>
    </w:pPr>
    <w:rPr>
      <w:rFonts w:asciiTheme="majorHAnsi" w:eastAsiaTheme="majorEastAsia" w:hAnsiTheme="majorHAnsi" w:cstheme="majorBidi"/>
      <w:iCs/>
      <w:color w:val="000000" w:themeColor="text1"/>
      <w:spacing w:val="15"/>
      <w:sz w:val="28"/>
      <w:szCs w:val="24"/>
    </w:rPr>
  </w:style>
  <w:style w:type="character" w:customStyle="1" w:styleId="UntertitelZchn">
    <w:name w:val="Untertitel Zchn"/>
    <w:basedOn w:val="Absatz-Standardschriftart"/>
    <w:link w:val="Untertitel"/>
    <w:uiPriority w:val="11"/>
    <w:rsid w:val="00533C13"/>
    <w:rPr>
      <w:rFonts w:asciiTheme="majorHAnsi" w:eastAsiaTheme="majorEastAsia" w:hAnsiTheme="majorHAnsi" w:cstheme="majorBidi"/>
      <w:iCs/>
      <w:color w:val="000000" w:themeColor="text1"/>
      <w:spacing w:val="15"/>
      <w:sz w:val="28"/>
      <w:szCs w:val="24"/>
    </w:rPr>
  </w:style>
  <w:style w:type="paragraph" w:styleId="Aufzhlungszeichen">
    <w:name w:val="List Bullet"/>
    <w:basedOn w:val="Standard"/>
    <w:uiPriority w:val="99"/>
    <w:rsid w:val="00533C13"/>
    <w:pPr>
      <w:tabs>
        <w:tab w:val="num" w:pos="720"/>
      </w:tabs>
      <w:spacing w:before="120" w:after="120"/>
      <w:ind w:left="709" w:hanging="425"/>
      <w:contextualSpacing/>
    </w:pPr>
    <w:rPr>
      <w:color w:val="000000" w:themeColor="text1"/>
    </w:rPr>
  </w:style>
  <w:style w:type="table" w:styleId="Tabellenraster">
    <w:name w:val="Table Grid"/>
    <w:basedOn w:val="NormaleTabelle"/>
    <w:uiPriority w:val="59"/>
    <w:rsid w:val="00FC17D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MTabelleWorddunkel">
    <w:name w:val="RCM Tabelle Word dunkel"/>
    <w:basedOn w:val="NormaleTabelle"/>
    <w:uiPriority w:val="99"/>
    <w:qFormat/>
    <w:rsid w:val="00525A9C"/>
    <w:pPr>
      <w:spacing w:after="0"/>
    </w:pPr>
    <w:tblPr>
      <w:tblStyleRowBandSize w:val="1"/>
      <w:tblStyleColBandSize w:val="1"/>
      <w:tblInd w:w="0"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0" w:type="dxa"/>
        <w:left w:w="108" w:type="dxa"/>
        <w:bottom w:w="0" w:type="dxa"/>
        <w:right w:w="108" w:type="dxa"/>
      </w:tblCellMar>
    </w:tblPr>
    <w:tcPr>
      <w:shd w:val="clear" w:color="auto" w:fill="E7E9EC"/>
    </w:tcPr>
    <w:tblStylePr w:type="firstRow">
      <w:rPr>
        <w:rFonts w:asciiTheme="minorHAnsi" w:hAnsiTheme="minorHAnsi"/>
        <w:b/>
        <w:color w:val="FFFFFF" w:themeColor="background2"/>
        <w:sz w:val="22"/>
      </w:rPr>
      <w:tblPr/>
      <w:tcPr>
        <w:tcBorders>
          <w:top w:val="single" w:sz="4" w:space="0" w:color="FFFFFF" w:themeColor="background2"/>
          <w:left w:val="single" w:sz="4" w:space="0" w:color="FFFFFF" w:themeColor="background2"/>
          <w:bottom w:val="single" w:sz="18"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1E4A76"/>
      </w:tcPr>
    </w:tblStylePr>
    <w:tblStylePr w:type="lastRow">
      <w:rPr>
        <w:rFonts w:asciiTheme="minorHAnsi" w:hAnsiTheme="minorHAnsi"/>
        <w:b/>
        <w:color w:val="FFFFFF" w:themeColor="background2"/>
        <w:sz w:val="22"/>
      </w:rPr>
      <w:tblPr/>
      <w:tcPr>
        <w:tcBorders>
          <w:top w:val="single" w:sz="1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cBorders>
        <w:shd w:val="clear" w:color="auto" w:fill="1E4A76"/>
      </w:tcPr>
    </w:tblStylePr>
    <w:tblStylePr w:type="firstCol">
      <w:rPr>
        <w:rFonts w:asciiTheme="minorHAnsi" w:hAnsiTheme="minorHAnsi"/>
        <w:b/>
        <w:color w:val="FFFFFF" w:themeColor="background2"/>
        <w:sz w:val="22"/>
      </w:rPr>
      <w:tblPr/>
      <w:tcPr>
        <w:tcBorders>
          <w:right w:val="single" w:sz="18" w:space="0" w:color="FFFFFF" w:themeColor="background2"/>
        </w:tcBorders>
        <w:shd w:val="clear" w:color="auto" w:fill="1E4A76"/>
      </w:tcPr>
    </w:tblStylePr>
    <w:tblStylePr w:type="lastCol">
      <w:rPr>
        <w:rFonts w:asciiTheme="minorHAnsi" w:hAnsiTheme="minorHAnsi"/>
        <w:b/>
        <w:color w:val="FFFFFF" w:themeColor="background2"/>
        <w:sz w:val="22"/>
      </w:rPr>
      <w:tblPr/>
      <w:tcPr>
        <w:tcBorders>
          <w:left w:val="single" w:sz="18" w:space="0" w:color="FFFFFF" w:themeColor="background2"/>
        </w:tcBorders>
        <w:shd w:val="clear" w:color="auto" w:fill="1E4A76"/>
      </w:tcPr>
    </w:tblStylePr>
    <w:tblStylePr w:type="band1Vert">
      <w:rPr>
        <w:rFonts w:asciiTheme="minorHAnsi" w:hAnsiTheme="minorHAnsi"/>
        <w:sz w:val="22"/>
      </w:rPr>
      <w:tblPr/>
      <w:tcPr>
        <w:shd w:val="clear" w:color="auto" w:fill="CCD0D6"/>
      </w:tcPr>
    </w:tblStylePr>
    <w:tblStylePr w:type="band2Vert">
      <w:rPr>
        <w:rFonts w:asciiTheme="minorHAnsi" w:hAnsiTheme="minorHAnsi"/>
        <w:sz w:val="22"/>
      </w:rPr>
      <w:tblPr/>
      <w:tcPr>
        <w:shd w:val="clear" w:color="auto" w:fill="E7E9EC"/>
      </w:tcPr>
    </w:tblStylePr>
    <w:tblStylePr w:type="band1Horz">
      <w:rPr>
        <w:rFonts w:asciiTheme="minorHAnsi" w:hAnsiTheme="minorHAnsi"/>
        <w:sz w:val="22"/>
      </w:rPr>
      <w:tblPr/>
      <w:tcPr>
        <w:shd w:val="clear" w:color="auto" w:fill="CCD0D6"/>
      </w:tcPr>
    </w:tblStylePr>
    <w:tblStylePr w:type="band2Horz">
      <w:rPr>
        <w:rFonts w:asciiTheme="minorHAnsi" w:hAnsiTheme="minorHAnsi"/>
        <w:sz w:val="22"/>
      </w:rPr>
      <w:tblPr/>
      <w:tcPr>
        <w:shd w:val="clear" w:color="auto" w:fill="E7E9EC"/>
      </w:tcPr>
    </w:tblStylePr>
  </w:style>
  <w:style w:type="table" w:customStyle="1" w:styleId="RCMTabelleWordhell">
    <w:name w:val="RCM Tabelle Word hell"/>
    <w:basedOn w:val="NormaleTabelle"/>
    <w:uiPriority w:val="99"/>
    <w:qFormat/>
    <w:rsid w:val="00525A9C"/>
    <w:pPr>
      <w:spacing w:after="0"/>
    </w:pPr>
    <w:tblPr>
      <w:tblStyleRowBandSize w:val="1"/>
      <w:tblStyleColBandSize w:val="1"/>
      <w:tblInd w:w="0" w:type="dxa"/>
      <w:tblBorders>
        <w:bottom w:val="single" w:sz="8" w:space="0" w:color="FFFFFF" w:themeColor="background2"/>
        <w:insideH w:val="single" w:sz="8" w:space="0" w:color="FFFFFF" w:themeColor="background2"/>
      </w:tblBorders>
      <w:tblCellMar>
        <w:top w:w="0" w:type="dxa"/>
        <w:left w:w="108" w:type="dxa"/>
        <w:bottom w:w="0" w:type="dxa"/>
        <w:right w:w="108" w:type="dxa"/>
      </w:tblCellMar>
    </w:tblPr>
    <w:tcPr>
      <w:shd w:val="clear" w:color="auto" w:fill="FFFFFF" w:themeFill="background2"/>
    </w:tcPr>
    <w:tblStylePr w:type="firstRow">
      <w:rPr>
        <w:rFonts w:asciiTheme="minorHAnsi" w:hAnsiTheme="minorHAnsi"/>
        <w:b/>
        <w:sz w:val="22"/>
      </w:rPr>
      <w:tblPr/>
      <w:tcPr>
        <w:tcBorders>
          <w:top w:val="single" w:sz="12" w:space="0" w:color="1E4A76"/>
          <w:bottom w:val="single" w:sz="12" w:space="0" w:color="1E4A76"/>
        </w:tcBorders>
        <w:shd w:val="clear" w:color="auto" w:fill="FFFFFF" w:themeFill="background2"/>
      </w:tcPr>
    </w:tblStylePr>
    <w:tblStylePr w:type="lastRow">
      <w:rPr>
        <w:rFonts w:asciiTheme="minorHAnsi" w:hAnsiTheme="minorHAnsi"/>
        <w:b/>
        <w:sz w:val="22"/>
      </w:rPr>
      <w:tblPr/>
      <w:tcPr>
        <w:tcBorders>
          <w:top w:val="single" w:sz="12" w:space="0" w:color="1E4A76"/>
          <w:bottom w:val="single" w:sz="12" w:space="0" w:color="1E4A76"/>
        </w:tcBorders>
        <w:shd w:val="clear" w:color="auto" w:fill="FFFFFF" w:themeFill="background2"/>
      </w:tcPr>
    </w:tblStylePr>
    <w:tblStylePr w:type="firstCol">
      <w:rPr>
        <w:rFonts w:asciiTheme="minorHAnsi" w:hAnsiTheme="minorHAnsi"/>
        <w:b/>
        <w:sz w:val="22"/>
      </w:rPr>
    </w:tblStylePr>
    <w:tblStylePr w:type="lastCol">
      <w:rPr>
        <w:rFonts w:asciiTheme="minorHAnsi" w:hAnsiTheme="minorHAnsi"/>
        <w:b/>
        <w:sz w:val="22"/>
      </w:rPr>
    </w:tblStylePr>
    <w:tblStylePr w:type="band1Vert">
      <w:rPr>
        <w:rFonts w:asciiTheme="minorHAnsi" w:hAnsiTheme="minorHAnsi"/>
        <w:sz w:val="22"/>
      </w:rPr>
      <w:tblPr/>
      <w:tcPr>
        <w:shd w:val="clear" w:color="auto" w:fill="D2DBE4"/>
      </w:tcPr>
    </w:tblStylePr>
    <w:tblStylePr w:type="band2Vert">
      <w:rPr>
        <w:rFonts w:asciiTheme="minorHAnsi" w:hAnsiTheme="minorHAnsi"/>
        <w:sz w:val="22"/>
      </w:rPr>
      <w:tblPr/>
      <w:tcPr>
        <w:shd w:val="clear" w:color="auto" w:fill="FFFFFF"/>
      </w:tcPr>
    </w:tblStylePr>
    <w:tblStylePr w:type="band1Horz">
      <w:rPr>
        <w:rFonts w:asciiTheme="minorHAnsi" w:hAnsiTheme="minorHAnsi"/>
        <w:sz w:val="22"/>
      </w:rPr>
      <w:tblPr/>
      <w:tcPr>
        <w:shd w:val="clear" w:color="auto" w:fill="D2DBE4"/>
      </w:tcPr>
    </w:tblStylePr>
    <w:tblStylePr w:type="band2Horz">
      <w:rPr>
        <w:rFonts w:asciiTheme="minorHAnsi" w:hAnsiTheme="minorHAnsi"/>
        <w:sz w:val="22"/>
      </w:rPr>
      <w:tblPr/>
      <w:tcPr>
        <w:shd w:val="clear" w:color="auto" w:fill="FFFFFF"/>
      </w:tcPr>
    </w:tblStylePr>
  </w:style>
  <w:style w:type="table" w:customStyle="1" w:styleId="RVVTabelleWorddunkel">
    <w:name w:val="RVV Tabelle Word dunkel"/>
    <w:basedOn w:val="RCMTabelleWorddunkel"/>
    <w:uiPriority w:val="99"/>
    <w:qFormat/>
    <w:rsid w:val="001E3000"/>
    <w:tblPr>
      <w:tblStyleRowBandSize w:val="1"/>
      <w:tblStyleColBandSize w:val="1"/>
      <w:tblInd w:w="0"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0" w:type="dxa"/>
        <w:left w:w="108" w:type="dxa"/>
        <w:bottom w:w="0" w:type="dxa"/>
        <w:right w:w="108" w:type="dxa"/>
      </w:tblCellMar>
    </w:tblPr>
    <w:tcPr>
      <w:shd w:val="clear" w:color="auto" w:fill="EAEDE8"/>
    </w:tcPr>
    <w:tblStylePr w:type="firstRow">
      <w:rPr>
        <w:rFonts w:asciiTheme="minorHAnsi" w:hAnsiTheme="minorHAnsi"/>
        <w:b/>
        <w:color w:val="FFFFFF" w:themeColor="background2"/>
        <w:sz w:val="22"/>
      </w:rPr>
      <w:tblPr/>
      <w:tcPr>
        <w:tcBorders>
          <w:top w:val="single" w:sz="8" w:space="0" w:color="FFFFFF" w:themeColor="background2"/>
          <w:left w:val="single" w:sz="8" w:space="0" w:color="FFFFFF" w:themeColor="background2"/>
          <w:bottom w:val="single" w:sz="18" w:space="0" w:color="FFFFFF" w:themeColor="background2"/>
          <w:right w:val="single" w:sz="8" w:space="0" w:color="FFFFFF" w:themeColor="background2"/>
          <w:insideH w:val="single" w:sz="8" w:space="0" w:color="FFFFFF" w:themeColor="background2"/>
          <w:insideV w:val="single" w:sz="8" w:space="0" w:color="FFFFFF" w:themeColor="background2"/>
        </w:tcBorders>
        <w:shd w:val="clear" w:color="auto" w:fill="5C8028"/>
      </w:tcPr>
    </w:tblStylePr>
    <w:tblStylePr w:type="lastRow">
      <w:rPr>
        <w:rFonts w:asciiTheme="minorHAnsi" w:hAnsiTheme="minorHAnsi"/>
        <w:b/>
        <w:color w:val="FFFFFF" w:themeColor="background2"/>
        <w:sz w:val="22"/>
      </w:rPr>
      <w:tblPr/>
      <w:tcPr>
        <w:tcBorders>
          <w:top w:val="single" w:sz="1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cBorders>
        <w:shd w:val="clear" w:color="auto" w:fill="5C8028"/>
      </w:tcPr>
    </w:tblStylePr>
    <w:tblStylePr w:type="firstCol">
      <w:rPr>
        <w:rFonts w:asciiTheme="minorHAnsi" w:hAnsiTheme="minorHAnsi"/>
        <w:b/>
        <w:color w:val="FFFFFF" w:themeColor="background2"/>
        <w:sz w:val="22"/>
      </w:rPr>
      <w:tblPr/>
      <w:tcPr>
        <w:tcBorders>
          <w:right w:val="single" w:sz="18" w:space="0" w:color="FFFFFF" w:themeColor="background2"/>
        </w:tcBorders>
        <w:shd w:val="clear" w:color="auto" w:fill="5C8028"/>
      </w:tcPr>
    </w:tblStylePr>
    <w:tblStylePr w:type="lastCol">
      <w:rPr>
        <w:rFonts w:asciiTheme="minorHAnsi" w:hAnsiTheme="minorHAnsi"/>
        <w:b/>
        <w:color w:val="FFFFFF" w:themeColor="background2"/>
        <w:sz w:val="22"/>
      </w:rPr>
      <w:tblPr/>
      <w:tcPr>
        <w:tcBorders>
          <w:left w:val="single" w:sz="18" w:space="0" w:color="FFFFFF" w:themeColor="background2"/>
        </w:tcBorders>
        <w:shd w:val="clear" w:color="auto" w:fill="5C8028"/>
      </w:tcPr>
    </w:tblStylePr>
    <w:tblStylePr w:type="band1Vert">
      <w:rPr>
        <w:rFonts w:asciiTheme="minorHAnsi" w:hAnsiTheme="minorHAnsi"/>
        <w:sz w:val="22"/>
      </w:rPr>
      <w:tblPr/>
      <w:tcPr>
        <w:shd w:val="clear" w:color="auto" w:fill="D2D8CD"/>
      </w:tcPr>
    </w:tblStylePr>
    <w:tblStylePr w:type="band2Vert">
      <w:rPr>
        <w:rFonts w:asciiTheme="minorHAnsi" w:hAnsiTheme="minorHAnsi"/>
        <w:sz w:val="22"/>
      </w:rPr>
      <w:tblPr/>
      <w:tcPr>
        <w:shd w:val="clear" w:color="auto" w:fill="E7EDE8"/>
      </w:tcPr>
    </w:tblStylePr>
    <w:tblStylePr w:type="band1Horz">
      <w:rPr>
        <w:rFonts w:asciiTheme="minorHAnsi" w:hAnsiTheme="minorHAnsi"/>
        <w:sz w:val="22"/>
      </w:rPr>
      <w:tblPr/>
      <w:tcPr>
        <w:shd w:val="clear" w:color="auto" w:fill="D2D8CD"/>
      </w:tcPr>
    </w:tblStylePr>
    <w:tblStylePr w:type="band2Horz">
      <w:rPr>
        <w:rFonts w:asciiTheme="minorHAnsi" w:hAnsiTheme="minorHAnsi"/>
        <w:sz w:val="22"/>
      </w:rPr>
      <w:tblPr/>
      <w:tcPr>
        <w:shd w:val="clear" w:color="auto" w:fill="E7E9EC"/>
      </w:tcPr>
    </w:tblStylePr>
  </w:style>
  <w:style w:type="table" w:customStyle="1" w:styleId="RVVTabelleWordhell">
    <w:name w:val="RVV Tabelle Word hell"/>
    <w:basedOn w:val="RCMTabelleWordhell"/>
    <w:uiPriority w:val="99"/>
    <w:qFormat/>
    <w:rsid w:val="00525A9C"/>
    <w:tblPr>
      <w:tblStyleRowBandSize w:val="1"/>
      <w:tblStyleColBandSize w:val="1"/>
      <w:tblInd w:w="0" w:type="dxa"/>
      <w:tblBorders>
        <w:bottom w:val="single" w:sz="8" w:space="0" w:color="FFFFFF" w:themeColor="background2"/>
        <w:insideH w:val="single" w:sz="8" w:space="0" w:color="FFFFFF" w:themeColor="background2"/>
      </w:tblBorders>
      <w:tblCellMar>
        <w:top w:w="0" w:type="dxa"/>
        <w:left w:w="108" w:type="dxa"/>
        <w:bottom w:w="0" w:type="dxa"/>
        <w:right w:w="108" w:type="dxa"/>
      </w:tblCellMar>
    </w:tblPr>
    <w:tcPr>
      <w:shd w:val="clear" w:color="auto" w:fill="FFFFFF" w:themeFill="background2"/>
    </w:tcPr>
    <w:tblStylePr w:type="firstRow">
      <w:rPr>
        <w:rFonts w:asciiTheme="minorHAnsi" w:hAnsiTheme="minorHAnsi"/>
        <w:b/>
        <w:sz w:val="22"/>
      </w:rPr>
      <w:tblPr/>
      <w:tcPr>
        <w:tcBorders>
          <w:top w:val="single" w:sz="12" w:space="0" w:color="5C8028"/>
          <w:bottom w:val="single" w:sz="12" w:space="0" w:color="5C8028"/>
        </w:tcBorders>
        <w:shd w:val="clear" w:color="auto" w:fill="FFFFFF" w:themeFill="background2"/>
      </w:tcPr>
    </w:tblStylePr>
    <w:tblStylePr w:type="lastRow">
      <w:rPr>
        <w:rFonts w:asciiTheme="minorHAnsi" w:hAnsiTheme="minorHAnsi"/>
        <w:b/>
        <w:sz w:val="22"/>
      </w:rPr>
      <w:tblPr/>
      <w:tcPr>
        <w:tcBorders>
          <w:top w:val="single" w:sz="12" w:space="0" w:color="5C8028"/>
          <w:bottom w:val="single" w:sz="12" w:space="0" w:color="5C8028"/>
        </w:tcBorders>
        <w:shd w:val="clear" w:color="auto" w:fill="FFFFFF" w:themeFill="background2"/>
      </w:tcPr>
    </w:tblStylePr>
    <w:tblStylePr w:type="firstCol">
      <w:rPr>
        <w:rFonts w:asciiTheme="minorHAnsi" w:hAnsiTheme="minorHAnsi"/>
        <w:b/>
        <w:sz w:val="22"/>
      </w:rPr>
    </w:tblStylePr>
    <w:tblStylePr w:type="lastCol">
      <w:rPr>
        <w:rFonts w:asciiTheme="minorHAnsi" w:hAnsiTheme="minorHAnsi"/>
        <w:b/>
        <w:sz w:val="22"/>
      </w:rPr>
    </w:tblStylePr>
    <w:tblStylePr w:type="band1Vert">
      <w:rPr>
        <w:rFonts w:asciiTheme="minorHAnsi" w:hAnsiTheme="minorHAnsi"/>
        <w:sz w:val="22"/>
      </w:rPr>
      <w:tblPr/>
      <w:tcPr>
        <w:shd w:val="clear" w:color="auto" w:fill="DEE6E4"/>
      </w:tcPr>
    </w:tblStylePr>
    <w:tblStylePr w:type="band2Vert">
      <w:rPr>
        <w:rFonts w:asciiTheme="minorHAnsi" w:hAnsiTheme="minorHAnsi"/>
        <w:sz w:val="22"/>
      </w:rPr>
      <w:tblPr/>
      <w:tcPr>
        <w:shd w:val="clear" w:color="auto" w:fill="FFFFFF"/>
      </w:tcPr>
    </w:tblStylePr>
    <w:tblStylePr w:type="band1Horz">
      <w:rPr>
        <w:rFonts w:asciiTheme="minorHAnsi" w:hAnsiTheme="minorHAnsi"/>
        <w:sz w:val="22"/>
      </w:rPr>
      <w:tblPr/>
      <w:tcPr>
        <w:shd w:val="clear" w:color="auto" w:fill="DEE6D4"/>
      </w:tcPr>
    </w:tblStylePr>
    <w:tblStylePr w:type="band2Horz">
      <w:rPr>
        <w:rFonts w:asciiTheme="minorHAnsi" w:hAnsiTheme="minorHAnsi"/>
        <w:sz w:val="22"/>
      </w:rPr>
      <w:tblPr/>
      <w:tcPr>
        <w:shd w:val="clear" w:color="auto" w:fill="FFFFFF"/>
      </w:tcPr>
    </w:tblStylePr>
  </w:style>
  <w:style w:type="paragraph" w:customStyle="1" w:styleId="RCMberschrift1">
    <w:name w:val="RCM_Überschrift 1"/>
    <w:basedOn w:val="Listenabsatz"/>
    <w:next w:val="Standard"/>
    <w:qFormat/>
    <w:rsid w:val="007A4054"/>
    <w:pPr>
      <w:tabs>
        <w:tab w:val="num" w:pos="720"/>
      </w:tabs>
      <w:ind w:left="340" w:hanging="340"/>
    </w:pPr>
    <w:rPr>
      <w:rFonts w:asciiTheme="majorHAnsi" w:hAnsiTheme="majorHAnsi"/>
      <w:sz w:val="28"/>
    </w:rPr>
  </w:style>
  <w:style w:type="paragraph" w:styleId="Listenabsatz">
    <w:name w:val="List Paragraph"/>
    <w:basedOn w:val="Standard"/>
    <w:uiPriority w:val="34"/>
    <w:unhideWhenUsed/>
    <w:qFormat/>
    <w:rsid w:val="00FD3EE8"/>
    <w:pPr>
      <w:ind w:left="720"/>
      <w:contextualSpacing/>
    </w:pPr>
  </w:style>
  <w:style w:type="paragraph" w:customStyle="1" w:styleId="RCMberschrift2">
    <w:name w:val="RCM_Überschrift 2"/>
    <w:basedOn w:val="Listenabsatz"/>
    <w:next w:val="Standard"/>
    <w:qFormat/>
    <w:rsid w:val="007A4054"/>
    <w:pPr>
      <w:tabs>
        <w:tab w:val="num" w:pos="1440"/>
      </w:tabs>
      <w:ind w:left="510" w:hanging="510"/>
    </w:pPr>
    <w:rPr>
      <w:rFonts w:asciiTheme="majorHAnsi" w:hAnsiTheme="majorHAnsi"/>
      <w:sz w:val="24"/>
    </w:rPr>
  </w:style>
  <w:style w:type="paragraph" w:customStyle="1" w:styleId="RCMberschrift3">
    <w:name w:val="RCM_Überschrift 3"/>
    <w:basedOn w:val="Listenabsatz"/>
    <w:next w:val="Standard"/>
    <w:qFormat/>
    <w:rsid w:val="007A4054"/>
    <w:pPr>
      <w:tabs>
        <w:tab w:val="num" w:pos="2160"/>
      </w:tabs>
      <w:ind w:left="624" w:hanging="624"/>
    </w:pPr>
    <w:rPr>
      <w:rFonts w:asciiTheme="majorHAnsi" w:hAnsiTheme="majorHAnsi"/>
    </w:rPr>
  </w:style>
  <w:style w:type="paragraph" w:customStyle="1" w:styleId="RCM-berschrift4">
    <w:name w:val="RCM-Überschrift 4"/>
    <w:basedOn w:val="Listenabsatz"/>
    <w:next w:val="Standard"/>
    <w:qFormat/>
    <w:rsid w:val="00FD3EE8"/>
    <w:pPr>
      <w:tabs>
        <w:tab w:val="num" w:pos="2880"/>
      </w:tabs>
      <w:ind w:left="851" w:hanging="851"/>
    </w:pPr>
    <w:rPr>
      <w:rFonts w:asciiTheme="majorHAnsi" w:hAnsiTheme="majorHAnsi"/>
    </w:rPr>
  </w:style>
  <w:style w:type="paragraph" w:styleId="Kopfzeile">
    <w:name w:val="header"/>
    <w:basedOn w:val="Standard"/>
    <w:link w:val="KopfzeileZchn"/>
    <w:unhideWhenUsed/>
    <w:rsid w:val="0059039D"/>
    <w:pPr>
      <w:tabs>
        <w:tab w:val="center" w:pos="4536"/>
        <w:tab w:val="right" w:pos="9072"/>
      </w:tabs>
    </w:pPr>
  </w:style>
  <w:style w:type="character" w:customStyle="1" w:styleId="KopfzeileZchn">
    <w:name w:val="Kopfzeile Zchn"/>
    <w:basedOn w:val="Absatz-Standardschriftart"/>
    <w:link w:val="Kopfzeile"/>
    <w:uiPriority w:val="99"/>
    <w:semiHidden/>
    <w:rsid w:val="0059039D"/>
  </w:style>
  <w:style w:type="paragraph" w:styleId="Fuzeile">
    <w:name w:val="footer"/>
    <w:basedOn w:val="Standard"/>
    <w:link w:val="FuzeileZchn"/>
    <w:uiPriority w:val="99"/>
    <w:unhideWhenUsed/>
    <w:rsid w:val="0059039D"/>
    <w:pPr>
      <w:tabs>
        <w:tab w:val="center" w:pos="4536"/>
        <w:tab w:val="right" w:pos="9072"/>
      </w:tabs>
    </w:pPr>
  </w:style>
  <w:style w:type="character" w:customStyle="1" w:styleId="FuzeileZchn">
    <w:name w:val="Fußzeile Zchn"/>
    <w:basedOn w:val="Absatz-Standardschriftart"/>
    <w:link w:val="Fuzeile"/>
    <w:uiPriority w:val="99"/>
    <w:rsid w:val="0059039D"/>
  </w:style>
  <w:style w:type="character" w:styleId="Kommentarzeichen">
    <w:name w:val="annotation reference"/>
    <w:basedOn w:val="Absatz-Standardschriftart"/>
    <w:uiPriority w:val="99"/>
    <w:semiHidden/>
    <w:unhideWhenUsed/>
    <w:rsid w:val="00943AA1"/>
    <w:rPr>
      <w:sz w:val="16"/>
      <w:szCs w:val="16"/>
    </w:rPr>
  </w:style>
  <w:style w:type="paragraph" w:styleId="Kommentartext">
    <w:name w:val="annotation text"/>
    <w:basedOn w:val="Standard"/>
    <w:link w:val="KommentartextZchn"/>
    <w:uiPriority w:val="99"/>
    <w:unhideWhenUsed/>
    <w:rsid w:val="00943AA1"/>
    <w:pPr>
      <w:spacing w:line="240" w:lineRule="auto"/>
    </w:pPr>
    <w:rPr>
      <w:sz w:val="20"/>
      <w:szCs w:val="20"/>
    </w:rPr>
  </w:style>
  <w:style w:type="character" w:customStyle="1" w:styleId="KommentartextZchn">
    <w:name w:val="Kommentartext Zchn"/>
    <w:basedOn w:val="Absatz-Standardschriftart"/>
    <w:link w:val="Kommentartext"/>
    <w:uiPriority w:val="99"/>
    <w:rsid w:val="00943AA1"/>
    <w:rPr>
      <w:sz w:val="20"/>
      <w:szCs w:val="20"/>
      <w:lang w:val="de-DE"/>
    </w:rPr>
  </w:style>
  <w:style w:type="paragraph" w:styleId="Kommentarthema">
    <w:name w:val="annotation subject"/>
    <w:basedOn w:val="Kommentartext"/>
    <w:next w:val="Kommentartext"/>
    <w:link w:val="KommentarthemaZchn"/>
    <w:uiPriority w:val="99"/>
    <w:semiHidden/>
    <w:unhideWhenUsed/>
    <w:rsid w:val="00943AA1"/>
    <w:rPr>
      <w:b/>
      <w:bCs/>
    </w:rPr>
  </w:style>
  <w:style w:type="character" w:customStyle="1" w:styleId="KommentarthemaZchn">
    <w:name w:val="Kommentarthema Zchn"/>
    <w:basedOn w:val="KommentartextZchn"/>
    <w:link w:val="Kommentarthema"/>
    <w:uiPriority w:val="99"/>
    <w:semiHidden/>
    <w:rsid w:val="00943AA1"/>
    <w:rPr>
      <w:b/>
      <w:bCs/>
      <w:sz w:val="20"/>
      <w:szCs w:val="20"/>
      <w:lang w:val="de-DE"/>
    </w:rPr>
  </w:style>
  <w:style w:type="paragraph" w:styleId="Funotentext">
    <w:name w:val="footnote text"/>
    <w:basedOn w:val="Standard"/>
    <w:link w:val="FunotentextZchn"/>
    <w:semiHidden/>
    <w:unhideWhenUsed/>
    <w:rsid w:val="00943AA1"/>
    <w:pPr>
      <w:spacing w:line="240" w:lineRule="auto"/>
    </w:pPr>
    <w:rPr>
      <w:sz w:val="20"/>
      <w:szCs w:val="20"/>
    </w:rPr>
  </w:style>
  <w:style w:type="character" w:customStyle="1" w:styleId="FunotentextZchn">
    <w:name w:val="Fußnotentext Zchn"/>
    <w:basedOn w:val="Absatz-Standardschriftart"/>
    <w:link w:val="Funotentext"/>
    <w:uiPriority w:val="99"/>
    <w:semiHidden/>
    <w:rsid w:val="00943AA1"/>
    <w:rPr>
      <w:sz w:val="20"/>
      <w:szCs w:val="20"/>
      <w:lang w:val="de-DE"/>
    </w:rPr>
  </w:style>
  <w:style w:type="character" w:styleId="Funotenzeichen">
    <w:name w:val="footnote reference"/>
    <w:basedOn w:val="Absatz-Standardschriftart"/>
    <w:semiHidden/>
    <w:unhideWhenUsed/>
    <w:rsid w:val="00943AA1"/>
    <w:rPr>
      <w:vertAlign w:val="superscript"/>
    </w:rPr>
  </w:style>
  <w:style w:type="paragraph" w:customStyle="1" w:styleId="51Abs">
    <w:name w:val="51_Abs"/>
    <w:basedOn w:val="Standard"/>
    <w:qFormat/>
    <w:rsid w:val="00943AA1"/>
    <w:pPr>
      <w:spacing w:before="80" w:line="220" w:lineRule="exact"/>
      <w:ind w:left="0" w:firstLine="397"/>
    </w:pPr>
    <w:rPr>
      <w:rFonts w:ascii="Times New Roman" w:eastAsia="Times New Roman" w:hAnsi="Times New Roman" w:cs="Times New Roman"/>
      <w:snapToGrid w:val="0"/>
      <w:color w:val="000000"/>
      <w:sz w:val="20"/>
      <w:szCs w:val="20"/>
      <w:lang w:eastAsia="de-DE"/>
    </w:rPr>
  </w:style>
  <w:style w:type="paragraph" w:customStyle="1" w:styleId="Paragr-berschr">
    <w:name w:val="Paragr-Überschr"/>
    <w:basedOn w:val="Standard"/>
    <w:uiPriority w:val="99"/>
    <w:rsid w:val="00943AA1"/>
    <w:pPr>
      <w:keepNext/>
      <w:suppressAutoHyphens/>
      <w:spacing w:before="480" w:after="360"/>
      <w:ind w:left="0" w:firstLine="0"/>
      <w:jc w:val="center"/>
    </w:pPr>
    <w:rPr>
      <w:rFonts w:ascii="Arial" w:eastAsia="Times New Roman" w:hAnsi="Arial" w:cs="Times New Roman"/>
      <w:b/>
      <w:sz w:val="24"/>
      <w:szCs w:val="20"/>
      <w:lang w:eastAsia="de-DE"/>
    </w:rPr>
  </w:style>
  <w:style w:type="paragraph" w:customStyle="1" w:styleId="Bearb-Hinweis">
    <w:name w:val="Bearb-Hinweis"/>
    <w:basedOn w:val="Standard"/>
    <w:uiPriority w:val="99"/>
    <w:rsid w:val="00943AA1"/>
    <w:pPr>
      <w:shd w:val="pct10" w:color="auto" w:fill="auto"/>
      <w:spacing w:after="360"/>
      <w:ind w:left="0" w:right="567" w:firstLine="0"/>
    </w:pPr>
    <w:rPr>
      <w:rFonts w:ascii="Arial" w:eastAsia="Times New Roman" w:hAnsi="Arial" w:cs="Times New Roman"/>
      <w:szCs w:val="20"/>
      <w:lang w:eastAsia="de-DE"/>
    </w:rPr>
  </w:style>
  <w:style w:type="paragraph" w:styleId="Textkrper-Zeileneinzug">
    <w:name w:val="Body Text Indent"/>
    <w:basedOn w:val="Standard"/>
    <w:link w:val="Textkrper-ZeileneinzugZchn"/>
    <w:uiPriority w:val="99"/>
    <w:rsid w:val="00943AA1"/>
    <w:pPr>
      <w:spacing w:line="240" w:lineRule="auto"/>
      <w:ind w:left="426" w:firstLine="0"/>
      <w:jc w:val="left"/>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uiPriority w:val="99"/>
    <w:rsid w:val="00943AA1"/>
    <w:rPr>
      <w:rFonts w:ascii="Arial" w:eastAsia="Times New Roman" w:hAnsi="Arial" w:cs="Times New Roman"/>
      <w:szCs w:val="20"/>
      <w:lang w:val="de-DE" w:eastAsia="de-DE"/>
    </w:rPr>
  </w:style>
  <w:style w:type="paragraph" w:styleId="berarbeitung">
    <w:name w:val="Revision"/>
    <w:hidden/>
    <w:uiPriority w:val="99"/>
    <w:semiHidden/>
    <w:rsid w:val="00943AA1"/>
    <w:pPr>
      <w:spacing w:after="0"/>
    </w:pPr>
    <w:rPr>
      <w:lang w:val="de-DE"/>
    </w:rPr>
  </w:style>
  <w:style w:type="paragraph" w:customStyle="1" w:styleId="FuzeileGltigkeitsdatumSeite">
    <w:name w:val="Fußzeile (Gültigkeitsdatum &amp; Seite)"/>
    <w:basedOn w:val="Standard"/>
    <w:semiHidden/>
    <w:rsid w:val="006E0EB0"/>
    <w:pPr>
      <w:spacing w:line="240" w:lineRule="exact"/>
      <w:ind w:left="0" w:firstLine="0"/>
      <w:jc w:val="left"/>
    </w:pPr>
    <w:rPr>
      <w:rFonts w:ascii="Swis721 Lt BT" w:eastAsia="Times New Roman" w:hAnsi="Swis721 Lt BT" w:cs="Times New Roman"/>
      <w:sz w:val="15"/>
      <w:szCs w:val="20"/>
      <w:lang w:eastAsia="de-DE"/>
    </w:rPr>
  </w:style>
  <w:style w:type="paragraph" w:customStyle="1" w:styleId="FuzeileFondsname">
    <w:name w:val="Fußzeile (Fondsname)"/>
    <w:basedOn w:val="Standard"/>
    <w:semiHidden/>
    <w:rsid w:val="006E0EB0"/>
    <w:pPr>
      <w:spacing w:line="240" w:lineRule="exact"/>
      <w:ind w:left="0" w:firstLine="0"/>
      <w:jc w:val="left"/>
    </w:pPr>
    <w:rPr>
      <w:rFonts w:ascii="Swis721 Md BT" w:eastAsia="Times New Roman" w:hAnsi="Swis721 Md BT" w:cs="Times New Roman"/>
      <w:sz w:val="15"/>
      <w:szCs w:val="20"/>
      <w:lang w:eastAsia="de-DE"/>
    </w:rPr>
  </w:style>
  <w:style w:type="character" w:styleId="Hyperlink">
    <w:name w:val="Hyperlink"/>
    <w:basedOn w:val="Absatz-Standardschriftart"/>
    <w:uiPriority w:val="99"/>
    <w:rsid w:val="00B24370"/>
    <w:rPr>
      <w:color w:val="0000FF"/>
      <w:u w:val="single"/>
    </w:rPr>
  </w:style>
  <w:style w:type="paragraph" w:styleId="Textkrper-Einzug2">
    <w:name w:val="Body Text Indent 2"/>
    <w:basedOn w:val="Standard"/>
    <w:link w:val="Textkrper-Einzug2Zchn"/>
    <w:uiPriority w:val="99"/>
    <w:semiHidden/>
    <w:unhideWhenUsed/>
    <w:rsid w:val="006F134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1346"/>
    <w:rPr>
      <w:lang w:val="de-DE"/>
    </w:rPr>
  </w:style>
  <w:style w:type="character" w:styleId="BesuchterHyperlink">
    <w:name w:val="FollowedHyperlink"/>
    <w:basedOn w:val="Absatz-Standardschriftart"/>
    <w:uiPriority w:val="99"/>
    <w:semiHidden/>
    <w:unhideWhenUsed/>
    <w:rsid w:val="004D2A37"/>
    <w:rPr>
      <w:color w:val="B9B9B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510">
      <w:bodyDiv w:val="1"/>
      <w:marLeft w:val="0"/>
      <w:marRight w:val="0"/>
      <w:marTop w:val="0"/>
      <w:marBottom w:val="0"/>
      <w:divBdr>
        <w:top w:val="none" w:sz="0" w:space="0" w:color="auto"/>
        <w:left w:val="none" w:sz="0" w:space="0" w:color="auto"/>
        <w:bottom w:val="none" w:sz="0" w:space="0" w:color="auto"/>
        <w:right w:val="none" w:sz="0" w:space="0" w:color="auto"/>
      </w:divBdr>
    </w:div>
    <w:div w:id="872571725">
      <w:bodyDiv w:val="1"/>
      <w:marLeft w:val="0"/>
      <w:marRight w:val="0"/>
      <w:marTop w:val="0"/>
      <w:marBottom w:val="0"/>
      <w:divBdr>
        <w:top w:val="none" w:sz="0" w:space="0" w:color="auto"/>
        <w:left w:val="none" w:sz="0" w:space="0" w:color="auto"/>
        <w:bottom w:val="none" w:sz="0" w:space="0" w:color="auto"/>
        <w:right w:val="none" w:sz="0" w:space="0" w:color="auto"/>
      </w:divBdr>
    </w:div>
    <w:div w:id="961573176">
      <w:bodyDiv w:val="1"/>
      <w:marLeft w:val="0"/>
      <w:marRight w:val="0"/>
      <w:marTop w:val="0"/>
      <w:marBottom w:val="0"/>
      <w:divBdr>
        <w:top w:val="none" w:sz="0" w:space="0" w:color="auto"/>
        <w:left w:val="none" w:sz="0" w:space="0" w:color="auto"/>
        <w:bottom w:val="none" w:sz="0" w:space="0" w:color="auto"/>
        <w:right w:val="none" w:sz="0" w:space="0" w:color="auto"/>
      </w:divBdr>
    </w:div>
    <w:div w:id="19138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fiddatabase.esma.europa.eu/Index.aspx?sectionlinks_id=23&amp;language=0&amp;pageName=REGULATED_MARKETS_Display&amp;subsection_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ma.gv.at/de/unternehmen/boerse-wertpapierhandel/boer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M_Design">
  <a:themeElements>
    <a:clrScheme name="RCM_Design_Farbe">
      <a:dk1>
        <a:srgbClr val="000000"/>
      </a:dk1>
      <a:lt1>
        <a:srgbClr val="FFFFFF"/>
      </a:lt1>
      <a:dk2>
        <a:srgbClr val="000000"/>
      </a:dk2>
      <a:lt2>
        <a:srgbClr val="FFFFFF"/>
      </a:lt2>
      <a:accent1>
        <a:srgbClr val="1E4A76"/>
      </a:accent1>
      <a:accent2>
        <a:srgbClr val="3F87CF"/>
      </a:accent2>
      <a:accent3>
        <a:srgbClr val="639ED9"/>
      </a:accent3>
      <a:accent4>
        <a:srgbClr val="A0C4E8"/>
      </a:accent4>
      <a:accent5>
        <a:srgbClr val="B9B9B9"/>
      </a:accent5>
      <a:accent6>
        <a:srgbClr val="DCDCDC"/>
      </a:accent6>
      <a:hlink>
        <a:srgbClr val="3F87CF"/>
      </a:hlink>
      <a:folHlink>
        <a:srgbClr val="B9B9B9"/>
      </a:folHlink>
    </a:clrScheme>
    <a:fontScheme name="RCM_Design_Schrift">
      <a:majorFont>
        <a:latin typeface="Swis721 Md BT"/>
        <a:ea typeface=""/>
        <a:cs typeface=""/>
      </a:majorFont>
      <a:minorFont>
        <a:latin typeface="Swis721 Lt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D5E8-84BE-4234-9767-C118777B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15221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RCM</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WKAPLT</dc:creator>
  <cp:lastModifiedBy>KREUZER Harald</cp:lastModifiedBy>
  <cp:revision>7</cp:revision>
  <cp:lastPrinted>2013-11-29T14:00:00Z</cp:lastPrinted>
  <dcterms:created xsi:type="dcterms:W3CDTF">2014-04-30T06:34:00Z</dcterms:created>
  <dcterms:modified xsi:type="dcterms:W3CDTF">2015-04-01T08:17:00Z</dcterms:modified>
</cp:coreProperties>
</file>