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F" w:rsidRDefault="00D822DF">
      <w:pPr>
        <w:pStyle w:val="BodyTextIndent"/>
        <w:ind w:left="0" w:right="-360" w:firstLine="0"/>
        <w:rPr>
          <w:rFonts w:ascii="Arial" w:hAnsi="Arial" w:cs="Arial"/>
          <w:b/>
          <w:sz w:val="20"/>
          <w:szCs w:val="22"/>
        </w:rPr>
      </w:pPr>
    </w:p>
    <w:p w:rsidR="00D21258" w:rsidRDefault="00232A55" w:rsidP="00D21258">
      <w:pPr>
        <w:rPr>
          <w:lang w:eastAsia="en-MY"/>
        </w:rPr>
      </w:pPr>
      <w:r>
        <w:rPr>
          <w:rFonts w:ascii="Arial" w:hAnsi="Arial" w:cs="Arial"/>
          <w:b/>
          <w:sz w:val="18"/>
          <w:szCs w:val="18"/>
          <w:lang w:eastAsia="en-MY"/>
        </w:rPr>
        <w:t>Borrower</w:t>
      </w:r>
      <w:r>
        <w:rPr>
          <w:rFonts w:ascii="Arial" w:hAnsi="Arial" w:cs="Arial"/>
          <w:b/>
          <w:sz w:val="18"/>
          <w:szCs w:val="18"/>
          <w:lang w:eastAsia="en-MY"/>
        </w:rPr>
        <w:tab/>
      </w:r>
      <w:r>
        <w:rPr>
          <w:rFonts w:ascii="Arial" w:hAnsi="Arial" w:cs="Arial"/>
          <w:b/>
          <w:sz w:val="18"/>
          <w:szCs w:val="18"/>
          <w:lang w:eastAsia="en-MY"/>
        </w:rPr>
        <w:tab/>
        <w:t xml:space="preserve">:           </w:t>
      </w:r>
      <w:proofErr w:type="spellStart"/>
      <w:r w:rsidR="007F7C20">
        <w:rPr>
          <w:rFonts w:ascii="Arial" w:hAnsi="Arial" w:cs="Arial"/>
          <w:b/>
          <w:sz w:val="18"/>
          <w:szCs w:val="18"/>
          <w:lang w:eastAsia="en-MY"/>
        </w:rPr>
        <w:t>xffsdfsf</w:t>
      </w:r>
      <w:proofErr w:type="spellEnd"/>
      <w:r w:rsidR="00D21258" w:rsidRPr="00AD5FE6">
        <w:rPr>
          <w:lang w:eastAsia="en-MY"/>
        </w:rPr>
        <w:t xml:space="preserve"> </w:t>
      </w:r>
    </w:p>
    <w:p w:rsidR="00D21258" w:rsidRPr="00AD5FE6" w:rsidRDefault="00D21258" w:rsidP="00D21258">
      <w:pPr>
        <w:rPr>
          <w:rFonts w:ascii="Arial" w:hAnsi="Arial" w:cs="Arial"/>
          <w:sz w:val="18"/>
          <w:szCs w:val="18"/>
          <w:lang w:eastAsia="en-MY"/>
        </w:rPr>
      </w:pPr>
    </w:p>
    <w:p w:rsidR="00D21258" w:rsidRDefault="00D21258" w:rsidP="00D21258">
      <w:pPr>
        <w:rPr>
          <w:rFonts w:ascii="Arial" w:hAnsi="Arial" w:cs="Arial"/>
          <w:b/>
          <w:sz w:val="18"/>
          <w:szCs w:val="18"/>
          <w:lang w:eastAsia="en-MY"/>
        </w:rPr>
      </w:pPr>
      <w:r w:rsidRPr="00AD5FE6">
        <w:rPr>
          <w:rFonts w:ascii="Arial" w:hAnsi="Arial" w:cs="Arial"/>
          <w:b/>
          <w:sz w:val="18"/>
          <w:szCs w:val="18"/>
          <w:lang w:eastAsia="en-MY"/>
        </w:rPr>
        <w:t xml:space="preserve">Approval Level </w:t>
      </w:r>
      <w:r w:rsidRPr="00AD5FE6">
        <w:rPr>
          <w:rFonts w:ascii="Arial" w:hAnsi="Arial" w:cs="Arial"/>
          <w:b/>
          <w:sz w:val="18"/>
          <w:szCs w:val="18"/>
          <w:lang w:eastAsia="en-MY"/>
        </w:rPr>
        <w:tab/>
      </w:r>
      <w:r w:rsidRPr="00AD5FE6">
        <w:rPr>
          <w:rFonts w:ascii="Arial" w:hAnsi="Arial" w:cs="Arial"/>
          <w:b/>
          <w:sz w:val="18"/>
          <w:szCs w:val="18"/>
          <w:lang w:eastAsia="en-MY"/>
        </w:rPr>
        <w:tab/>
        <w:t xml:space="preserve">:           GMCC </w:t>
      </w:r>
    </w:p>
    <w:p w:rsidR="00D21258" w:rsidRDefault="00D21258" w:rsidP="00D21258">
      <w:pPr>
        <w:rPr>
          <w:rFonts w:ascii="Arial" w:hAnsi="Arial" w:cs="Arial"/>
          <w:b/>
          <w:sz w:val="18"/>
          <w:szCs w:val="18"/>
          <w:lang w:eastAsia="en-MY"/>
        </w:rPr>
      </w:pPr>
    </w:p>
    <w:p w:rsidR="00D21258" w:rsidRDefault="00D21258" w:rsidP="00D21258">
      <w:pPr>
        <w:rPr>
          <w:rFonts w:ascii="Arial" w:hAnsi="Arial" w:cs="Arial"/>
          <w:b/>
          <w:sz w:val="18"/>
          <w:szCs w:val="18"/>
          <w:lang w:eastAsia="en-MY"/>
        </w:rPr>
      </w:pPr>
      <w:r w:rsidRPr="00AD5FE6">
        <w:rPr>
          <w:rFonts w:ascii="Arial" w:hAnsi="Arial" w:cs="Arial"/>
          <w:b/>
          <w:sz w:val="18"/>
          <w:szCs w:val="18"/>
          <w:lang w:eastAsia="en-MY"/>
        </w:rPr>
        <w:t xml:space="preserve">Rating </w:t>
      </w:r>
      <w:r w:rsidRPr="00AD5FE6">
        <w:rPr>
          <w:rFonts w:ascii="Arial" w:hAnsi="Arial" w:cs="Arial"/>
          <w:b/>
          <w:sz w:val="18"/>
          <w:szCs w:val="18"/>
          <w:lang w:eastAsia="en-MY"/>
        </w:rPr>
        <w:tab/>
      </w:r>
      <w:r w:rsidRPr="00AD5FE6">
        <w:rPr>
          <w:rFonts w:ascii="Arial" w:hAnsi="Arial" w:cs="Arial"/>
          <w:b/>
          <w:sz w:val="18"/>
          <w:szCs w:val="18"/>
          <w:lang w:eastAsia="en-MY"/>
        </w:rPr>
        <w:tab/>
        <w:t xml:space="preserve">      </w:t>
      </w:r>
      <w:r w:rsidRPr="00AD5FE6">
        <w:rPr>
          <w:rFonts w:ascii="Arial" w:hAnsi="Arial" w:cs="Arial"/>
          <w:b/>
          <w:sz w:val="18"/>
          <w:szCs w:val="18"/>
          <w:lang w:eastAsia="en-MY"/>
        </w:rPr>
        <w:tab/>
        <w:t xml:space="preserve">:           </w:t>
      </w:r>
      <w:r w:rsidR="00487B54">
        <w:rPr>
          <w:rFonts w:ascii="Arial" w:hAnsi="Arial" w:cs="Arial"/>
          <w:b/>
          <w:sz w:val="18"/>
          <w:szCs w:val="18"/>
          <w:lang w:eastAsia="en-MY"/>
        </w:rPr>
        <w:t>BRR 16 / FRR F / EL RM4</w:t>
      </w:r>
      <w:r w:rsidRPr="00AD5FE6">
        <w:rPr>
          <w:rFonts w:ascii="Arial" w:hAnsi="Arial" w:cs="Arial"/>
          <w:b/>
          <w:sz w:val="18"/>
          <w:szCs w:val="18"/>
          <w:lang w:eastAsia="en-MY"/>
        </w:rPr>
        <w:t xml:space="preserve"> </w:t>
      </w:r>
    </w:p>
    <w:p w:rsidR="002505F2" w:rsidRPr="00D21258" w:rsidRDefault="002505F2" w:rsidP="002505F2">
      <w:pPr>
        <w:pStyle w:val="BodyTextIndent"/>
        <w:ind w:left="0" w:right="-360" w:firstLine="540"/>
        <w:rPr>
          <w:rFonts w:ascii="Arial" w:hAnsi="Arial" w:cs="Arial"/>
          <w:bCs/>
          <w:sz w:val="18"/>
          <w:szCs w:val="18"/>
        </w:rPr>
      </w:pPr>
    </w:p>
    <w:p w:rsidR="00D21258" w:rsidRPr="00D21258" w:rsidRDefault="00D21258" w:rsidP="00D21258">
      <w:pPr>
        <w:pStyle w:val="BodyTextIndent"/>
        <w:ind w:right="-360"/>
        <w:rPr>
          <w:rFonts w:ascii="Arial" w:hAnsi="Arial" w:cs="Arial"/>
          <w:bCs/>
          <w:sz w:val="18"/>
          <w:szCs w:val="18"/>
          <w:u w:val="single"/>
        </w:rPr>
      </w:pPr>
      <w:r w:rsidRPr="00D21258">
        <w:rPr>
          <w:rFonts w:ascii="Arial" w:hAnsi="Arial" w:cs="Arial"/>
          <w:bCs/>
          <w:sz w:val="18"/>
          <w:szCs w:val="18"/>
          <w:u w:val="single"/>
        </w:rPr>
        <w:t>Note</w:t>
      </w:r>
    </w:p>
    <w:p w:rsidR="00C348C0" w:rsidRDefault="00D21258" w:rsidP="00D21258">
      <w:pPr>
        <w:pStyle w:val="BodyTextIndent"/>
        <w:ind w:left="0" w:right="-360" w:firstLine="0"/>
        <w:rPr>
          <w:rFonts w:ascii="Arial" w:hAnsi="Arial" w:cs="Arial"/>
          <w:bCs/>
          <w:sz w:val="18"/>
          <w:szCs w:val="18"/>
        </w:rPr>
      </w:pPr>
      <w:r w:rsidRPr="00D21258">
        <w:rPr>
          <w:rFonts w:ascii="Arial" w:hAnsi="Arial" w:cs="Arial"/>
          <w:bCs/>
          <w:sz w:val="18"/>
          <w:szCs w:val="18"/>
        </w:rPr>
        <w:t>AA renewal escalated to GMCC as the EL has exceeded Head CFS / CC</w:t>
      </w:r>
      <w:r w:rsidR="00FA67DE">
        <w:rPr>
          <w:rFonts w:ascii="Arial" w:hAnsi="Arial" w:cs="Arial"/>
          <w:bCs/>
          <w:sz w:val="18"/>
          <w:szCs w:val="18"/>
        </w:rPr>
        <w:t>O’s renewal AL (</w:t>
      </w:r>
      <w:proofErr w:type="spellStart"/>
      <w:r w:rsidR="00FA67DE">
        <w:rPr>
          <w:rFonts w:ascii="Arial" w:hAnsi="Arial" w:cs="Arial"/>
          <w:bCs/>
          <w:sz w:val="18"/>
          <w:szCs w:val="18"/>
        </w:rPr>
        <w:t>i.e</w:t>
      </w:r>
      <w:proofErr w:type="spellEnd"/>
      <w:r w:rsidR="00FA67DE">
        <w:rPr>
          <w:rFonts w:ascii="Arial" w:hAnsi="Arial" w:cs="Arial"/>
          <w:bCs/>
          <w:sz w:val="18"/>
          <w:szCs w:val="18"/>
        </w:rPr>
        <w:t xml:space="preserve"> EL &gt; RM4.00</w:t>
      </w:r>
      <w:r w:rsidRPr="00D21258">
        <w:rPr>
          <w:rFonts w:ascii="Arial" w:hAnsi="Arial" w:cs="Arial"/>
          <w:bCs/>
          <w:sz w:val="18"/>
          <w:szCs w:val="18"/>
        </w:rPr>
        <w:t>).</w:t>
      </w:r>
    </w:p>
    <w:p w:rsidR="00D21258" w:rsidRPr="00D21258" w:rsidRDefault="00D21258" w:rsidP="00D21258">
      <w:pPr>
        <w:pStyle w:val="BodyTextIndent"/>
        <w:ind w:left="0" w:right="-360" w:firstLine="0"/>
        <w:rPr>
          <w:rFonts w:ascii="Arial" w:hAnsi="Arial" w:cs="Arial"/>
          <w:bCs/>
          <w:sz w:val="18"/>
          <w:szCs w:val="18"/>
        </w:rPr>
      </w:pPr>
    </w:p>
    <w:p w:rsidR="00D822DF" w:rsidRPr="00D21258" w:rsidRDefault="00D822DF">
      <w:pPr>
        <w:pStyle w:val="BodyTextIndent"/>
        <w:numPr>
          <w:ilvl w:val="0"/>
          <w:numId w:val="1"/>
        </w:numPr>
        <w:ind w:right="-360"/>
        <w:rPr>
          <w:rFonts w:ascii="Arial" w:hAnsi="Arial" w:cs="Arial"/>
          <w:b/>
          <w:sz w:val="18"/>
          <w:szCs w:val="18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320"/>
      </w:tblGrid>
      <w:tr w:rsidR="00D822DF" w:rsidRPr="00D21258" w:rsidTr="00F57CC7">
        <w:trPr>
          <w:trHeight w:val="4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F" w:rsidRPr="00D21258" w:rsidRDefault="00D822D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258">
              <w:rPr>
                <w:rFonts w:ascii="Arial" w:hAnsi="Arial" w:cs="Arial"/>
                <w:b/>
                <w:bCs/>
                <w:sz w:val="18"/>
                <w:szCs w:val="18"/>
              </w:rPr>
              <w:t>Key Credit Issues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DF" w:rsidRPr="00D21258" w:rsidRDefault="00D822D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258">
              <w:rPr>
                <w:rFonts w:ascii="Arial" w:hAnsi="Arial" w:cs="Arial"/>
                <w:b/>
                <w:bCs/>
                <w:sz w:val="18"/>
                <w:szCs w:val="18"/>
              </w:rPr>
              <w:t>Proposed Mitigation/ Remarks</w:t>
            </w:r>
          </w:p>
        </w:tc>
      </w:tr>
      <w:tr w:rsidR="000F430F" w:rsidRPr="00D21258" w:rsidTr="00F57CC7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F" w:rsidRPr="00D21258" w:rsidRDefault="000F430F" w:rsidP="000F430F">
            <w:pPr>
              <w:pStyle w:val="BodyTextInden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125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Facility / security / repayment risk </w:t>
            </w:r>
          </w:p>
          <w:p w:rsidR="000F430F" w:rsidRPr="00D21258" w:rsidRDefault="000F430F" w:rsidP="00B701A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21258">
              <w:rPr>
                <w:rFonts w:ascii="Arial" w:hAnsi="Arial" w:cs="Arial"/>
                <w:sz w:val="18"/>
                <w:szCs w:val="18"/>
              </w:rPr>
              <w:t>Request for renewal of the existing facilities where overall clean exposure is high RM16</w:t>
            </w:r>
            <w:r w:rsidR="00D2612B">
              <w:rPr>
                <w:rFonts w:ascii="Arial" w:hAnsi="Arial" w:cs="Arial"/>
                <w:sz w:val="18"/>
                <w:szCs w:val="18"/>
              </w:rPr>
              <w:t>6.016</w:t>
            </w:r>
            <w:r w:rsidRPr="00D21258">
              <w:rPr>
                <w:rFonts w:ascii="Arial" w:hAnsi="Arial" w:cs="Arial"/>
                <w:sz w:val="18"/>
                <w:szCs w:val="18"/>
              </w:rPr>
              <w:t xml:space="preserve">9 (vs audited FYE 2013 TNW RM3.271). There is one reported 1MIA in the </w:t>
            </w:r>
            <w:r w:rsidR="00232A55">
              <w:rPr>
                <w:rFonts w:ascii="Arial" w:hAnsi="Arial" w:cs="Arial"/>
                <w:sz w:val="18"/>
                <w:szCs w:val="18"/>
              </w:rPr>
              <w:t>XYZ</w:t>
            </w:r>
            <w:r w:rsidRPr="00D21258">
              <w:rPr>
                <w:rFonts w:ascii="Arial" w:hAnsi="Arial" w:cs="Arial"/>
                <w:sz w:val="18"/>
                <w:szCs w:val="18"/>
              </w:rPr>
              <w:t xml:space="preserve"> OD per CCRIS report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F" w:rsidRDefault="000F430F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0F430F" w:rsidRPr="000F430F" w:rsidRDefault="000F430F" w:rsidP="000F430F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F430F">
              <w:rPr>
                <w:rFonts w:ascii="Arial" w:hAnsi="Arial" w:cs="Arial"/>
                <w:sz w:val="18"/>
                <w:szCs w:val="18"/>
              </w:rPr>
              <w:t xml:space="preserve">There was an excess in the OD RM14 due to </w:t>
            </w:r>
            <w:r w:rsidR="00D2612B">
              <w:rPr>
                <w:rFonts w:ascii="Arial" w:hAnsi="Arial" w:cs="Arial"/>
                <w:sz w:val="18"/>
                <w:szCs w:val="18"/>
              </w:rPr>
              <w:t xml:space="preserve">overdue </w:t>
            </w:r>
            <w:r w:rsidRPr="000F430F">
              <w:rPr>
                <w:rFonts w:ascii="Arial" w:hAnsi="Arial" w:cs="Arial"/>
                <w:sz w:val="18"/>
                <w:szCs w:val="18"/>
              </w:rPr>
              <w:t xml:space="preserve">OD interest in August 2014. Repayment of the other </w:t>
            </w:r>
            <w:r w:rsidR="00232A55">
              <w:rPr>
                <w:rFonts w:ascii="Arial" w:hAnsi="Arial" w:cs="Arial"/>
                <w:sz w:val="18"/>
                <w:szCs w:val="18"/>
              </w:rPr>
              <w:t>XYZ</w:t>
            </w:r>
            <w:r w:rsidRPr="000F430F">
              <w:rPr>
                <w:rFonts w:ascii="Arial" w:hAnsi="Arial" w:cs="Arial"/>
                <w:sz w:val="18"/>
                <w:szCs w:val="18"/>
              </w:rPr>
              <w:t xml:space="preserve"> / other FI facilities is satisfactory    </w:t>
            </w:r>
          </w:p>
          <w:p w:rsidR="000F430F" w:rsidRPr="000F430F" w:rsidRDefault="000F430F" w:rsidP="000F430F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0F43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430F" w:rsidRPr="000F430F" w:rsidRDefault="000F430F" w:rsidP="000F430F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F430F">
              <w:rPr>
                <w:rFonts w:ascii="Arial" w:hAnsi="Arial" w:cs="Arial"/>
                <w:sz w:val="18"/>
                <w:szCs w:val="18"/>
              </w:rPr>
              <w:t xml:space="preserve">95% of the limits </w:t>
            </w:r>
            <w:proofErr w:type="gramStart"/>
            <w:r w:rsidRPr="000F430F"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 w:rsidRPr="000F430F">
              <w:rPr>
                <w:rFonts w:ascii="Arial" w:hAnsi="Arial" w:cs="Arial"/>
                <w:sz w:val="18"/>
                <w:szCs w:val="18"/>
              </w:rPr>
              <w:t xml:space="preserve"> under BCF. Summary of </w:t>
            </w:r>
            <w:proofErr w:type="spellStart"/>
            <w:r w:rsidR="00341BFD">
              <w:rPr>
                <w:rFonts w:ascii="Arial" w:hAnsi="Arial" w:cs="Arial"/>
                <w:sz w:val="18"/>
                <w:szCs w:val="18"/>
              </w:rPr>
              <w:t>abcd</w:t>
            </w:r>
            <w:r w:rsidRPr="000F430F">
              <w:rPr>
                <w:rFonts w:ascii="Arial" w:hAnsi="Arial" w:cs="Arial"/>
                <w:sz w:val="18"/>
                <w:szCs w:val="18"/>
              </w:rPr>
              <w:t>’s</w:t>
            </w:r>
            <w:proofErr w:type="spellEnd"/>
            <w:r w:rsidRPr="000F430F">
              <w:rPr>
                <w:rFonts w:ascii="Arial" w:hAnsi="Arial" w:cs="Arial"/>
                <w:sz w:val="18"/>
                <w:szCs w:val="18"/>
              </w:rPr>
              <w:t xml:space="preserve"> facilities is as follows :</w:t>
            </w:r>
          </w:p>
          <w:p w:rsidR="000F430F" w:rsidRPr="000F430F" w:rsidRDefault="000F430F" w:rsidP="000F430F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0F430F">
              <w:rPr>
                <w:rFonts w:ascii="Arial" w:hAnsi="Arial" w:cs="Arial"/>
                <w:sz w:val="18"/>
                <w:szCs w:val="18"/>
              </w:rPr>
              <w:t>Pac</w:t>
            </w:r>
            <w:r w:rsidR="00B701AD">
              <w:rPr>
                <w:rFonts w:ascii="Arial" w:hAnsi="Arial" w:cs="Arial"/>
                <w:sz w:val="18"/>
                <w:szCs w:val="18"/>
              </w:rPr>
              <w:t>kage 1 (open line)   RM   8.20</w:t>
            </w:r>
          </w:p>
          <w:p w:rsidR="000F430F" w:rsidRPr="000F430F" w:rsidRDefault="000F430F" w:rsidP="000F430F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0F430F">
              <w:rPr>
                <w:rFonts w:ascii="Arial" w:hAnsi="Arial" w:cs="Arial"/>
                <w:sz w:val="18"/>
                <w:szCs w:val="18"/>
              </w:rPr>
              <w:t xml:space="preserve">Package 2 (BCF)          RM  32.30 </w:t>
            </w:r>
          </w:p>
          <w:p w:rsidR="000F430F" w:rsidRPr="000F430F" w:rsidRDefault="000F430F" w:rsidP="000F430F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0F430F">
              <w:rPr>
                <w:rFonts w:ascii="Arial" w:hAnsi="Arial" w:cs="Arial"/>
                <w:sz w:val="18"/>
                <w:szCs w:val="18"/>
              </w:rPr>
              <w:t xml:space="preserve">Package 3 (BCF)          RM    0.81 </w:t>
            </w:r>
          </w:p>
          <w:p w:rsidR="000F430F" w:rsidRPr="00D21258" w:rsidRDefault="000F430F" w:rsidP="00B701AD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F430F">
              <w:rPr>
                <w:rFonts w:ascii="Arial" w:hAnsi="Arial" w:cs="Arial"/>
                <w:sz w:val="18"/>
                <w:szCs w:val="18"/>
              </w:rPr>
              <w:t>Package 4 (BCF)          RM136.80</w:t>
            </w:r>
          </w:p>
        </w:tc>
      </w:tr>
      <w:tr w:rsidR="00D2612B" w:rsidRPr="00D21258" w:rsidTr="00F57CC7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2B" w:rsidRPr="008E7212" w:rsidRDefault="008E7212" w:rsidP="00DE6DCF">
            <w:pPr>
              <w:pStyle w:val="BodyTextIndent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8E7212">
              <w:rPr>
                <w:rFonts w:ascii="Arial" w:hAnsi="Arial" w:cs="Arial"/>
                <w:bCs/>
                <w:sz w:val="18"/>
                <w:szCs w:val="18"/>
              </w:rPr>
              <w:t>Repay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ment on the facilities would depend on </w:t>
            </w:r>
            <w:r w:rsidR="00DE6DCF">
              <w:rPr>
                <w:rFonts w:ascii="Arial" w:hAnsi="Arial" w:cs="Arial"/>
                <w:bCs/>
                <w:sz w:val="18"/>
                <w:szCs w:val="18"/>
              </w:rPr>
              <w:t>ABCD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’s ability to secure profitable projects and complete the projects on time.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12" w:rsidRDefault="00D2612B" w:rsidP="000F430F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Bank is currently financing 2 contracts awarded by </w:t>
            </w:r>
          </w:p>
          <w:p w:rsidR="008E7212" w:rsidRDefault="008E7212" w:rsidP="000F430F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→ </w:t>
            </w:r>
            <w:r w:rsidR="00D2612B">
              <w:rPr>
                <w:rFonts w:ascii="Arial" w:hAnsi="Arial" w:cs="Arial"/>
                <w:sz w:val="18"/>
                <w:szCs w:val="18"/>
              </w:rPr>
              <w:t>Ministry of Education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under Package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D2612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="00D2612B">
              <w:rPr>
                <w:rFonts w:ascii="Arial" w:hAnsi="Arial" w:cs="Arial"/>
                <w:sz w:val="18"/>
                <w:szCs w:val="18"/>
              </w:rPr>
              <w:t>36 month contract &amp; 78% completed @ expiry date 01-02-2015)</w:t>
            </w:r>
            <w:r w:rsidR="00A962A7">
              <w:rPr>
                <w:rFonts w:ascii="Arial" w:hAnsi="Arial" w:cs="Arial"/>
                <w:sz w:val="18"/>
                <w:szCs w:val="18"/>
              </w:rPr>
              <w:t>. Contract value RM28.27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261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2612B" w:rsidRDefault="008E7212" w:rsidP="008E7212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→ </w:t>
            </w:r>
            <w:r w:rsidR="00D2612B">
              <w:rPr>
                <w:rFonts w:ascii="Arial" w:hAnsi="Arial" w:cs="Arial"/>
                <w:sz w:val="18"/>
                <w:szCs w:val="18"/>
              </w:rPr>
              <w:t xml:space="preserve">Customs Department under Package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2612B">
              <w:rPr>
                <w:rFonts w:ascii="Arial" w:hAnsi="Arial" w:cs="Arial"/>
                <w:sz w:val="18"/>
                <w:szCs w:val="18"/>
              </w:rPr>
              <w:t xml:space="preserve"> (24 month contract &amp; 35% completed @ expiry date @ </w:t>
            </w:r>
            <w:r>
              <w:rPr>
                <w:rFonts w:ascii="Arial" w:hAnsi="Arial" w:cs="Arial"/>
                <w:sz w:val="18"/>
                <w:szCs w:val="18"/>
              </w:rPr>
              <w:t>22-10</w:t>
            </w:r>
            <w:r w:rsidR="00A962A7">
              <w:rPr>
                <w:rFonts w:ascii="Arial" w:hAnsi="Arial" w:cs="Arial"/>
                <w:sz w:val="18"/>
                <w:szCs w:val="18"/>
              </w:rPr>
              <w:t>-2015). Contract value RM317.77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E7212" w:rsidRPr="00D21258" w:rsidRDefault="008E7212" w:rsidP="008E7212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BC Head, no adverse record reported on the project progress.</w:t>
            </w:r>
          </w:p>
        </w:tc>
      </w:tr>
      <w:tr w:rsidR="000F430F" w:rsidRPr="00D21258" w:rsidTr="00F57CC7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F" w:rsidRPr="00D21258" w:rsidRDefault="000F430F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F" w:rsidRPr="00D21258" w:rsidRDefault="000F430F" w:rsidP="000F430F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21258">
              <w:rPr>
                <w:rFonts w:ascii="Arial" w:hAnsi="Arial" w:cs="Arial"/>
                <w:sz w:val="18"/>
                <w:szCs w:val="18"/>
              </w:rPr>
              <w:t>For noting, the existing conditions for</w:t>
            </w:r>
            <w:r w:rsidR="008E7212">
              <w:rPr>
                <w:rFonts w:ascii="Arial" w:hAnsi="Arial" w:cs="Arial"/>
                <w:sz w:val="18"/>
                <w:szCs w:val="18"/>
              </w:rPr>
              <w:t xml:space="preserve"> financing of the Customs contract under </w:t>
            </w:r>
            <w:r w:rsidRPr="00D21258">
              <w:rPr>
                <w:rFonts w:ascii="Arial" w:hAnsi="Arial" w:cs="Arial"/>
                <w:sz w:val="18"/>
                <w:szCs w:val="18"/>
              </w:rPr>
              <w:t>BCF  Package 4</w:t>
            </w:r>
            <w:r w:rsidR="008E7212">
              <w:rPr>
                <w:rFonts w:ascii="Arial" w:hAnsi="Arial" w:cs="Arial"/>
                <w:sz w:val="18"/>
                <w:szCs w:val="18"/>
              </w:rPr>
              <w:t xml:space="preserve"> include :</w:t>
            </w:r>
            <w:r w:rsidRPr="00D2125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F430F" w:rsidRPr="00D21258" w:rsidRDefault="000F430F" w:rsidP="000F430F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1258">
              <w:rPr>
                <w:rFonts w:ascii="Arial" w:hAnsi="Arial" w:cs="Arial"/>
                <w:sz w:val="18"/>
                <w:szCs w:val="18"/>
              </w:rPr>
              <w:t xml:space="preserve">→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1258">
              <w:rPr>
                <w:rFonts w:ascii="Arial" w:hAnsi="Arial" w:cs="Arial"/>
                <w:sz w:val="18"/>
                <w:szCs w:val="18"/>
              </w:rPr>
              <w:t>LC</w:t>
            </w:r>
            <w:proofErr w:type="gramEnd"/>
            <w:r w:rsidRPr="00D21258">
              <w:rPr>
                <w:rFonts w:ascii="Arial" w:hAnsi="Arial" w:cs="Arial"/>
                <w:sz w:val="18"/>
                <w:szCs w:val="18"/>
              </w:rPr>
              <w:t xml:space="preserve">/TR/OD-Invoice and OD Invoice </w:t>
            </w:r>
            <w:r w:rsidR="00B04802">
              <w:rPr>
                <w:rFonts w:ascii="Arial" w:hAnsi="Arial" w:cs="Arial"/>
                <w:sz w:val="18"/>
                <w:szCs w:val="18"/>
              </w:rPr>
              <w:t>limit to be reduced to RM90.00 and RM13</w:t>
            </w:r>
            <w:r w:rsidRPr="00D21258">
              <w:rPr>
                <w:rFonts w:ascii="Arial" w:hAnsi="Arial" w:cs="Arial"/>
                <w:sz w:val="18"/>
                <w:szCs w:val="18"/>
              </w:rPr>
              <w:t xml:space="preserve"> after 1 year from emplacement date.</w:t>
            </w:r>
          </w:p>
          <w:p w:rsidR="000F430F" w:rsidRPr="00D21258" w:rsidRDefault="000F430F" w:rsidP="00A70477">
            <w:pPr>
              <w:pStyle w:val="BodyTextIndent"/>
              <w:rPr>
                <w:rFonts w:ascii="Arial" w:hAnsi="Arial" w:cs="Arial"/>
                <w:sz w:val="18"/>
                <w:szCs w:val="18"/>
              </w:rPr>
            </w:pPr>
            <w:r w:rsidRPr="00D212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4802">
              <w:rPr>
                <w:rFonts w:ascii="Arial" w:hAnsi="Arial" w:cs="Arial"/>
                <w:sz w:val="18"/>
                <w:szCs w:val="18"/>
              </w:rPr>
              <w:t xml:space="preserve">→ OD-Invoice sub-limit RM28 </w:t>
            </w:r>
            <w:r w:rsidR="00A70477">
              <w:rPr>
                <w:rFonts w:ascii="Arial" w:hAnsi="Arial" w:cs="Arial"/>
                <w:sz w:val="18"/>
                <w:szCs w:val="18"/>
              </w:rPr>
              <w:t xml:space="preserve">to be reduced to RM13 </w:t>
            </w:r>
            <w:r w:rsidRPr="00D21258">
              <w:rPr>
                <w:rFonts w:ascii="Arial" w:hAnsi="Arial" w:cs="Arial"/>
                <w:sz w:val="18"/>
                <w:szCs w:val="18"/>
              </w:rPr>
              <w:t xml:space="preserve">after emplacement date @ 14-03-2014. </w:t>
            </w:r>
          </w:p>
        </w:tc>
      </w:tr>
      <w:tr w:rsidR="000F430F" w:rsidRPr="00D21258" w:rsidTr="00F57CC7">
        <w:trPr>
          <w:trHeight w:val="7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4F" w:rsidRPr="00D21258" w:rsidRDefault="0081154F" w:rsidP="0081154F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21258">
              <w:rPr>
                <w:rFonts w:ascii="Arial" w:hAnsi="Arial" w:cs="Arial"/>
                <w:sz w:val="18"/>
                <w:szCs w:val="18"/>
              </w:rPr>
              <w:t>To allow waiver of professional valuation report on the charged properties</w:t>
            </w:r>
            <w:r w:rsidR="00D2612B">
              <w:rPr>
                <w:rFonts w:ascii="Arial" w:hAnsi="Arial" w:cs="Arial"/>
                <w:sz w:val="18"/>
                <w:szCs w:val="18"/>
              </w:rPr>
              <w:t xml:space="preserve"> (for Package 1)</w:t>
            </w:r>
            <w:r w:rsidRPr="00D212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430F" w:rsidRPr="000F430F" w:rsidRDefault="000F430F">
            <w:pPr>
              <w:pStyle w:val="BodyTextIndent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0F" w:rsidRPr="00D21258" w:rsidRDefault="000F430F" w:rsidP="000F430F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21258">
              <w:rPr>
                <w:rFonts w:ascii="Arial" w:hAnsi="Arial" w:cs="Arial"/>
                <w:sz w:val="18"/>
                <w:szCs w:val="18"/>
              </w:rPr>
              <w:t xml:space="preserve">Verbal checking with 2 panel </w:t>
            </w:r>
            <w:proofErr w:type="spellStart"/>
            <w:r w:rsidRPr="00D21258">
              <w:rPr>
                <w:rFonts w:ascii="Arial" w:hAnsi="Arial" w:cs="Arial"/>
                <w:sz w:val="18"/>
                <w:szCs w:val="18"/>
              </w:rPr>
              <w:t>valuers</w:t>
            </w:r>
            <w:proofErr w:type="spellEnd"/>
            <w:r w:rsidRPr="00D21258">
              <w:rPr>
                <w:rFonts w:ascii="Arial" w:hAnsi="Arial" w:cs="Arial"/>
                <w:sz w:val="18"/>
                <w:szCs w:val="18"/>
              </w:rPr>
              <w:t xml:space="preserve"> has been undertaken by BC. Disposability of the 2 residential / 2 shop office units is viewed to be good given the location at Bandar Sri </w:t>
            </w:r>
            <w:proofErr w:type="spellStart"/>
            <w:r w:rsidRPr="00D21258">
              <w:rPr>
                <w:rFonts w:ascii="Arial" w:hAnsi="Arial" w:cs="Arial"/>
                <w:sz w:val="18"/>
                <w:szCs w:val="18"/>
              </w:rPr>
              <w:t>Damansara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D1AA0" w:rsidRDefault="008D1AA0" w:rsidP="008D6581">
      <w:pPr>
        <w:pStyle w:val="BodyTextIndent"/>
        <w:rPr>
          <w:rFonts w:ascii="Arial" w:hAnsi="Arial" w:cs="Arial"/>
          <w:bCs/>
          <w:sz w:val="18"/>
          <w:szCs w:val="18"/>
        </w:rPr>
      </w:pPr>
    </w:p>
    <w:p w:rsidR="008D6581" w:rsidRPr="008D6581" w:rsidRDefault="008D6581" w:rsidP="008D6581">
      <w:pPr>
        <w:pStyle w:val="BodyTextIndent"/>
        <w:rPr>
          <w:rFonts w:ascii="Arial" w:hAnsi="Arial" w:cs="Arial"/>
          <w:b/>
          <w:bCs/>
          <w:sz w:val="18"/>
          <w:szCs w:val="18"/>
          <w:u w:val="single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2.  </w:t>
      </w:r>
      <w:r w:rsidRPr="008D6581">
        <w:rPr>
          <w:rFonts w:ascii="Arial" w:hAnsi="Arial" w:cs="Arial"/>
          <w:b/>
          <w:bCs/>
          <w:sz w:val="18"/>
          <w:szCs w:val="18"/>
          <w:u w:val="single"/>
        </w:rPr>
        <w:t>Policy issues</w:t>
      </w:r>
    </w:p>
    <w:p w:rsidR="008D6581" w:rsidRP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    a)    Waiver of directors’ income evidence.</w:t>
      </w:r>
    </w:p>
    <w:p w:rsid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</w:p>
    <w:p w:rsidR="008D6581" w:rsidRP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3.  </w:t>
      </w:r>
      <w:r w:rsidRPr="008D6581">
        <w:rPr>
          <w:rFonts w:ascii="Arial" w:hAnsi="Arial" w:cs="Arial"/>
          <w:b/>
          <w:bCs/>
          <w:sz w:val="18"/>
          <w:szCs w:val="18"/>
          <w:u w:val="single"/>
        </w:rPr>
        <w:t>Others</w:t>
      </w:r>
      <w:r w:rsidRPr="008D6581"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  <w:p w:rsidR="008D6581" w:rsidRP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    a)   The RRWA 10.40% is above the minimum benchmark. </w:t>
      </w:r>
    </w:p>
    <w:p w:rsidR="001564ED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    b)   </w:t>
      </w:r>
      <w:r w:rsidR="001564ED">
        <w:rPr>
          <w:rFonts w:ascii="Arial" w:hAnsi="Arial" w:cs="Arial"/>
          <w:bCs/>
          <w:sz w:val="18"/>
          <w:szCs w:val="18"/>
        </w:rPr>
        <w:t xml:space="preserve"> </w:t>
      </w:r>
      <w:r w:rsidRPr="008D6581">
        <w:rPr>
          <w:rFonts w:ascii="Arial" w:hAnsi="Arial" w:cs="Arial"/>
          <w:bCs/>
          <w:sz w:val="18"/>
          <w:szCs w:val="18"/>
        </w:rPr>
        <w:t xml:space="preserve">We have 99% exposure in terms of </w:t>
      </w:r>
      <w:proofErr w:type="spellStart"/>
      <w:r w:rsidR="002A2FC4">
        <w:rPr>
          <w:rFonts w:ascii="Arial" w:hAnsi="Arial" w:cs="Arial"/>
          <w:bCs/>
          <w:sz w:val="18"/>
          <w:szCs w:val="18"/>
        </w:rPr>
        <w:t>aCCD</w:t>
      </w:r>
      <w:proofErr w:type="spellEnd"/>
      <w:r w:rsidRPr="008D6581">
        <w:rPr>
          <w:rFonts w:ascii="Arial" w:hAnsi="Arial" w:cs="Arial"/>
          <w:bCs/>
          <w:sz w:val="18"/>
          <w:szCs w:val="18"/>
        </w:rPr>
        <w:t xml:space="preserve"> total working facilities.   </w:t>
      </w:r>
    </w:p>
    <w:p w:rsidR="008D6581" w:rsidRDefault="001564ED" w:rsidP="001564ED">
      <w:pPr>
        <w:pStyle w:val="BodyTextIndent"/>
        <w:ind w:left="567" w:hanging="56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Pr="001564ED">
        <w:rPr>
          <w:rFonts w:ascii="Arial" w:hAnsi="Arial" w:cs="Arial"/>
          <w:bCs/>
          <w:sz w:val="18"/>
          <w:szCs w:val="18"/>
          <w:highlight w:val="yellow"/>
        </w:rPr>
        <w:t>c)</w:t>
      </w:r>
      <w:r w:rsidRPr="001564ED">
        <w:rPr>
          <w:rFonts w:ascii="Arial" w:hAnsi="Arial" w:cs="Arial"/>
          <w:bCs/>
          <w:sz w:val="18"/>
          <w:szCs w:val="18"/>
          <w:highlight w:val="yellow"/>
        </w:rPr>
        <w:tab/>
        <w:t xml:space="preserve">Issue on whether individual assessment on the account has been carried as per the </w:t>
      </w:r>
      <w:proofErr w:type="gramStart"/>
      <w:r w:rsidRPr="001564ED">
        <w:rPr>
          <w:rFonts w:ascii="Arial" w:hAnsi="Arial" w:cs="Arial"/>
          <w:bCs/>
          <w:sz w:val="18"/>
          <w:szCs w:val="18"/>
          <w:highlight w:val="yellow"/>
        </w:rPr>
        <w:t>impairment  guidelines</w:t>
      </w:r>
      <w:proofErr w:type="gramEnd"/>
      <w:r w:rsidRPr="001564ED">
        <w:rPr>
          <w:rFonts w:ascii="Arial" w:hAnsi="Arial" w:cs="Arial"/>
          <w:bCs/>
          <w:sz w:val="18"/>
          <w:szCs w:val="18"/>
          <w:highlight w:val="yellow"/>
        </w:rPr>
        <w:t xml:space="preserve"> not been addressed</w:t>
      </w:r>
      <w:r>
        <w:rPr>
          <w:rFonts w:ascii="Arial" w:hAnsi="Arial" w:cs="Arial"/>
          <w:bCs/>
          <w:sz w:val="18"/>
          <w:szCs w:val="18"/>
        </w:rPr>
        <w:t xml:space="preserve">.   </w:t>
      </w:r>
      <w:r w:rsidR="008D6581" w:rsidRPr="008D6581">
        <w:rPr>
          <w:rFonts w:ascii="Arial" w:hAnsi="Arial" w:cs="Arial"/>
          <w:bCs/>
          <w:sz w:val="18"/>
          <w:szCs w:val="18"/>
        </w:rPr>
        <w:t xml:space="preserve">  </w:t>
      </w:r>
    </w:p>
    <w:p w:rsidR="008D6581" w:rsidRP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</w:p>
    <w:p w:rsidR="008D6581" w:rsidRDefault="008D6581" w:rsidP="008D6581">
      <w:pPr>
        <w:pStyle w:val="BodyTextIndent"/>
        <w:rPr>
          <w:rFonts w:ascii="Arial" w:hAnsi="Arial" w:cs="Arial"/>
          <w:b/>
          <w:bCs/>
          <w:sz w:val="18"/>
          <w:szCs w:val="18"/>
          <w:u w:val="single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4.  </w:t>
      </w:r>
      <w:r w:rsidRPr="008D6581">
        <w:rPr>
          <w:rFonts w:ascii="Arial" w:hAnsi="Arial" w:cs="Arial"/>
          <w:b/>
          <w:bCs/>
          <w:sz w:val="18"/>
          <w:szCs w:val="18"/>
          <w:u w:val="single"/>
        </w:rPr>
        <w:t>Recommendation</w:t>
      </w:r>
    </w:p>
    <w:p w:rsidR="004E40BC" w:rsidRDefault="004E40BC" w:rsidP="008D6581">
      <w:pPr>
        <w:pStyle w:val="BodyTextInden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   </w:t>
      </w:r>
    </w:p>
    <w:tbl>
      <w:tblPr>
        <w:tblW w:w="88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4E40BC" w:rsidRPr="00727DF4" w:rsidTr="00727DF4">
        <w:tc>
          <w:tcPr>
            <w:tcW w:w="8820" w:type="dxa"/>
            <w:shd w:val="clear" w:color="auto" w:fill="auto"/>
          </w:tcPr>
          <w:p w:rsidR="004E40BC" w:rsidRPr="00727DF4" w:rsidRDefault="004E40BC" w:rsidP="001E5C84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Though revenue is on improving trend, the NPMs are thin (less than 1.00%) with high gearing of above </w:t>
            </w:r>
            <w:proofErr w:type="gramStart"/>
            <w:r w:rsidRPr="00727DF4">
              <w:rPr>
                <w:rFonts w:ascii="Arial" w:hAnsi="Arial" w:cs="Arial"/>
                <w:bCs/>
                <w:sz w:val="18"/>
                <w:szCs w:val="18"/>
              </w:rPr>
              <w:t>10x</w:t>
            </w:r>
            <w:proofErr w:type="gramEnd"/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. The average DCP / CPP trend infer that </w:t>
            </w:r>
            <w:r w:rsidR="00FD2DEA">
              <w:rPr>
                <w:rFonts w:ascii="Arial" w:hAnsi="Arial" w:cs="Arial"/>
                <w:bCs/>
                <w:sz w:val="18"/>
                <w:szCs w:val="18"/>
              </w:rPr>
              <w:t>AAAA</w:t>
            </w: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 does not require working capital facilities. Overall cl</w:t>
            </w:r>
            <w:r w:rsidR="001E5C84">
              <w:rPr>
                <w:rFonts w:ascii="Arial" w:hAnsi="Arial" w:cs="Arial"/>
                <w:bCs/>
                <w:sz w:val="18"/>
                <w:szCs w:val="18"/>
              </w:rPr>
              <w:t>ean exposure is high @ RM16</w:t>
            </w: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. However 95% of working capital lines are under BCF where the contract proceeds are ring fenced. The new MATRADE job is within </w:t>
            </w:r>
            <w:r w:rsidR="00FD2DEA">
              <w:rPr>
                <w:rFonts w:ascii="Arial" w:hAnsi="Arial" w:cs="Arial"/>
                <w:bCs/>
                <w:sz w:val="18"/>
                <w:szCs w:val="18"/>
              </w:rPr>
              <w:t>AAAA</w:t>
            </w: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’s IT technical expertise and the contract amount is relatively small.    </w:t>
            </w:r>
          </w:p>
        </w:tc>
      </w:tr>
      <w:tr w:rsidR="004E40BC" w:rsidRPr="00727DF4" w:rsidTr="00727DF4">
        <w:tc>
          <w:tcPr>
            <w:tcW w:w="8820" w:type="dxa"/>
            <w:shd w:val="clear" w:color="auto" w:fill="auto"/>
          </w:tcPr>
          <w:p w:rsidR="004E40BC" w:rsidRPr="00727DF4" w:rsidRDefault="004E40BC" w:rsidP="004E40BC">
            <w:pPr>
              <w:pStyle w:val="BodyTextIndent"/>
              <w:rPr>
                <w:rFonts w:ascii="Arial" w:hAnsi="Arial" w:cs="Arial"/>
                <w:bCs/>
                <w:sz w:val="18"/>
                <w:szCs w:val="18"/>
              </w:rPr>
            </w:pPr>
            <w:r w:rsidRPr="00727DF4">
              <w:rPr>
                <w:rFonts w:ascii="Arial" w:hAnsi="Arial" w:cs="Arial"/>
                <w:bCs/>
                <w:sz w:val="18"/>
                <w:szCs w:val="18"/>
              </w:rPr>
              <w:t>Support recommendation as per BC with the following variations:</w:t>
            </w:r>
          </w:p>
          <w:p w:rsidR="004E40BC" w:rsidRPr="00727DF4" w:rsidRDefault="004E40BC" w:rsidP="004E40BC">
            <w:pPr>
              <w:pStyle w:val="BodyTextIndent"/>
              <w:rPr>
                <w:rFonts w:ascii="Arial" w:hAnsi="Arial" w:cs="Arial"/>
                <w:bCs/>
                <w:sz w:val="18"/>
                <w:szCs w:val="18"/>
              </w:rPr>
            </w:pP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E40BC" w:rsidRPr="00727DF4" w:rsidRDefault="004E40BC" w:rsidP="00727DF4">
            <w:pPr>
              <w:pStyle w:val="BodyTextIndent"/>
              <w:ind w:left="349" w:hanging="349"/>
              <w:rPr>
                <w:rFonts w:ascii="Arial" w:hAnsi="Arial" w:cs="Arial"/>
                <w:bCs/>
                <w:sz w:val="18"/>
                <w:szCs w:val="18"/>
              </w:rPr>
            </w:pP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a)  </w:t>
            </w:r>
            <w:proofErr w:type="gramStart"/>
            <w:r w:rsidRPr="00727DF4">
              <w:rPr>
                <w:rFonts w:ascii="Arial" w:hAnsi="Arial" w:cs="Arial"/>
                <w:bCs/>
                <w:sz w:val="18"/>
                <w:szCs w:val="18"/>
              </w:rPr>
              <w:t>submission</w:t>
            </w:r>
            <w:proofErr w:type="gramEnd"/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 of FYE 31-03-</w:t>
            </w:r>
            <w:r w:rsidR="002B2EB7">
              <w:rPr>
                <w:rFonts w:ascii="Arial" w:hAnsi="Arial" w:cs="Arial"/>
                <w:bCs/>
                <w:sz w:val="18"/>
                <w:szCs w:val="18"/>
              </w:rPr>
              <w:t>zczc</w:t>
            </w:r>
            <w:r w:rsidRPr="00727DF4">
              <w:rPr>
                <w:rFonts w:ascii="Arial" w:hAnsi="Arial" w:cs="Arial"/>
                <w:bCs/>
                <w:sz w:val="18"/>
                <w:szCs w:val="18"/>
              </w:rPr>
              <w:t>4 audited account by 31-01</w:t>
            </w:r>
            <w:r w:rsidR="002B2EB7">
              <w:rPr>
                <w:rFonts w:ascii="Arial" w:hAnsi="Arial" w:cs="Arial"/>
                <w:bCs/>
                <w:sz w:val="18"/>
                <w:szCs w:val="18"/>
              </w:rPr>
              <w:t>zs</w:t>
            </w: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5 (with another 1 month on unadvised basis) </w:t>
            </w:r>
            <w:r w:rsidRPr="00727DF4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with negative variance of not more than 10% on turnover / pre-tax profit / TNW.                </w:t>
            </w:r>
          </w:p>
          <w:p w:rsidR="004E40BC" w:rsidRPr="00727DF4" w:rsidRDefault="004E40BC" w:rsidP="00727DF4">
            <w:pPr>
              <w:pStyle w:val="BodyTextIndent"/>
              <w:ind w:left="349" w:hanging="349"/>
              <w:rPr>
                <w:rFonts w:ascii="Arial" w:hAnsi="Arial" w:cs="Arial"/>
                <w:bCs/>
                <w:sz w:val="18"/>
                <w:szCs w:val="18"/>
              </w:rPr>
            </w:pP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b)   BC to monitor closely on the existing U Custom project (financed under Package 4) and be satisfied that contract progress is on schedule.        </w:t>
            </w:r>
          </w:p>
          <w:p w:rsidR="004E40BC" w:rsidRPr="00727DF4" w:rsidRDefault="004E40BC" w:rsidP="004E40BC">
            <w:pPr>
              <w:pStyle w:val="BodyTextIndent"/>
              <w:rPr>
                <w:rFonts w:ascii="Arial" w:hAnsi="Arial" w:cs="Arial"/>
                <w:bCs/>
                <w:sz w:val="18"/>
                <w:szCs w:val="18"/>
              </w:rPr>
            </w:pP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c)    BC to ensure checking on the account as per the Bank's impairment guidelines has been carried out.  </w:t>
            </w:r>
          </w:p>
          <w:p w:rsidR="004E40BC" w:rsidRPr="00727DF4" w:rsidRDefault="004E40BC" w:rsidP="00727DF4">
            <w:pPr>
              <w:pStyle w:val="BodyTextIndent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d)    </w:t>
            </w:r>
            <w:proofErr w:type="gramStart"/>
            <w:r w:rsidRPr="00727DF4">
              <w:rPr>
                <w:rFonts w:ascii="Arial" w:hAnsi="Arial" w:cs="Arial"/>
                <w:bCs/>
                <w:sz w:val="18"/>
                <w:szCs w:val="18"/>
              </w:rPr>
              <w:t>all</w:t>
            </w:r>
            <w:proofErr w:type="gramEnd"/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 other existing terms and conditions are to remain unchanged.</w:t>
            </w:r>
          </w:p>
          <w:p w:rsidR="004E40BC" w:rsidRPr="00727DF4" w:rsidRDefault="004E40BC" w:rsidP="00727DF4">
            <w:pPr>
              <w:pStyle w:val="BodyTextIndent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E40BC" w:rsidRPr="00727DF4" w:rsidRDefault="004E40BC" w:rsidP="00727DF4">
            <w:pPr>
              <w:pStyle w:val="BodyTextIndent"/>
              <w:ind w:left="0" w:firstLine="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27DF4">
              <w:rPr>
                <w:rFonts w:ascii="Arial" w:hAnsi="Arial" w:cs="Arial"/>
                <w:bCs/>
                <w:sz w:val="18"/>
                <w:szCs w:val="18"/>
                <w:u w:val="single"/>
              </w:rPr>
              <w:t>Note to BC</w:t>
            </w:r>
          </w:p>
          <w:p w:rsidR="004E40BC" w:rsidRPr="00727DF4" w:rsidRDefault="004E40BC" w:rsidP="002B2EB7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27DF4">
              <w:rPr>
                <w:rFonts w:ascii="Arial" w:hAnsi="Arial" w:cs="Arial"/>
                <w:bCs/>
                <w:sz w:val="18"/>
                <w:szCs w:val="18"/>
              </w:rPr>
              <w:t>The conditions as per mentioned under ‘</w:t>
            </w:r>
            <w:proofErr w:type="spellStart"/>
            <w:r w:rsidR="002B2EB7">
              <w:rPr>
                <w:rFonts w:ascii="Arial" w:hAnsi="Arial" w:cs="Arial"/>
                <w:bCs/>
                <w:sz w:val="18"/>
                <w:szCs w:val="18"/>
              </w:rPr>
              <w:t>xxxxxxxxxxx</w:t>
            </w:r>
            <w:proofErr w:type="spellEnd"/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 (before approval)’ under Module</w:t>
            </w:r>
            <w:r w:rsidR="00454BE8" w:rsidRPr="00727DF4">
              <w:rPr>
                <w:rFonts w:ascii="Arial" w:hAnsi="Arial" w:cs="Arial"/>
                <w:bCs/>
                <w:sz w:val="18"/>
                <w:szCs w:val="18"/>
              </w:rPr>
              <w:t xml:space="preserve">1b should remain applicable as </w:t>
            </w: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per </w:t>
            </w:r>
            <w:proofErr w:type="spellStart"/>
            <w:r w:rsidRPr="00727DF4">
              <w:rPr>
                <w:rFonts w:ascii="Arial" w:hAnsi="Arial" w:cs="Arial"/>
                <w:bCs/>
                <w:sz w:val="18"/>
                <w:szCs w:val="18"/>
              </w:rPr>
              <w:t>pg</w:t>
            </w:r>
            <w:proofErr w:type="spellEnd"/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 25</w:t>
            </w:r>
            <w:r w:rsidR="00454BE8" w:rsidRPr="00727DF4">
              <w:rPr>
                <w:rFonts w:ascii="Arial" w:hAnsi="Arial" w:cs="Arial"/>
                <w:bCs/>
                <w:sz w:val="18"/>
                <w:szCs w:val="18"/>
              </w:rPr>
              <w:t xml:space="preserve"> except item </w:t>
            </w:r>
            <w:proofErr w:type="spellStart"/>
            <w:r w:rsidR="00454BE8" w:rsidRPr="00727DF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454BE8" w:rsidRPr="00727DF4">
              <w:rPr>
                <w:rFonts w:ascii="Arial" w:hAnsi="Arial" w:cs="Arial"/>
                <w:bCs/>
                <w:sz w:val="18"/>
                <w:szCs w:val="18"/>
              </w:rPr>
              <w:t>) of condition1</w:t>
            </w:r>
            <w:r w:rsidRPr="00727D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4BE8" w:rsidRPr="00727DF4">
              <w:rPr>
                <w:rFonts w:ascii="Arial" w:hAnsi="Arial" w:cs="Arial"/>
                <w:bCs/>
                <w:sz w:val="18"/>
                <w:szCs w:val="18"/>
              </w:rPr>
              <w:t>and item ii) condition 6.</w:t>
            </w:r>
          </w:p>
        </w:tc>
      </w:tr>
    </w:tbl>
    <w:p w:rsidR="004E40BC" w:rsidRDefault="004E40BC" w:rsidP="008D6581">
      <w:pPr>
        <w:pStyle w:val="BodyTextIndent"/>
        <w:rPr>
          <w:rFonts w:ascii="Arial" w:hAnsi="Arial" w:cs="Arial"/>
          <w:b/>
          <w:bCs/>
          <w:sz w:val="18"/>
          <w:szCs w:val="18"/>
          <w:u w:val="single"/>
        </w:rPr>
      </w:pPr>
    </w:p>
    <w:p w:rsidR="004E40BC" w:rsidRDefault="004E40BC" w:rsidP="008D6581">
      <w:pPr>
        <w:pStyle w:val="BodyTextIndent"/>
        <w:rPr>
          <w:rFonts w:ascii="Arial" w:hAnsi="Arial" w:cs="Arial"/>
          <w:b/>
          <w:bCs/>
          <w:sz w:val="18"/>
          <w:szCs w:val="18"/>
          <w:u w:val="single"/>
        </w:rPr>
      </w:pPr>
    </w:p>
    <w:p w:rsidR="008D6581" w:rsidRP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Pr="008D6581">
        <w:rPr>
          <w:rFonts w:ascii="Arial" w:hAnsi="Arial" w:cs="Arial"/>
          <w:bCs/>
          <w:sz w:val="18"/>
          <w:szCs w:val="18"/>
        </w:rPr>
        <w:t xml:space="preserve">Though revenue is on improving trend, the NPMs are thin (less than 1.00%) with high gearing of above </w:t>
      </w:r>
      <w:proofErr w:type="gramStart"/>
      <w:r w:rsidRPr="008D6581">
        <w:rPr>
          <w:rFonts w:ascii="Arial" w:hAnsi="Arial" w:cs="Arial"/>
          <w:bCs/>
          <w:sz w:val="18"/>
          <w:szCs w:val="18"/>
        </w:rPr>
        <w:t>10x</w:t>
      </w:r>
      <w:proofErr w:type="gramEnd"/>
      <w:r w:rsidRPr="008D6581">
        <w:rPr>
          <w:rFonts w:ascii="Arial" w:hAnsi="Arial" w:cs="Arial"/>
          <w:bCs/>
          <w:sz w:val="18"/>
          <w:szCs w:val="18"/>
        </w:rPr>
        <w:t xml:space="preserve">. The average DCP / CPP trend infer that </w:t>
      </w:r>
      <w:r w:rsidR="00474F83">
        <w:rPr>
          <w:rFonts w:ascii="Arial" w:hAnsi="Arial" w:cs="Arial"/>
          <w:bCs/>
          <w:sz w:val="18"/>
          <w:szCs w:val="18"/>
        </w:rPr>
        <w:t>ABCD</w:t>
      </w:r>
      <w:r w:rsidRPr="008D6581">
        <w:rPr>
          <w:rFonts w:ascii="Arial" w:hAnsi="Arial" w:cs="Arial"/>
          <w:bCs/>
          <w:sz w:val="18"/>
          <w:szCs w:val="18"/>
        </w:rPr>
        <w:t xml:space="preserve"> does not require working capital </w:t>
      </w:r>
      <w:bookmarkStart w:id="0" w:name="_GoBack"/>
      <w:bookmarkEnd w:id="0"/>
      <w:r w:rsidRPr="008D6581">
        <w:rPr>
          <w:rFonts w:ascii="Arial" w:hAnsi="Arial" w:cs="Arial"/>
          <w:bCs/>
          <w:sz w:val="18"/>
          <w:szCs w:val="18"/>
        </w:rPr>
        <w:t xml:space="preserve">facilities. Overall clean exposure is high @ RM1 </w:t>
      </w:r>
    </w:p>
    <w:p w:rsid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   </w:t>
      </w:r>
    </w:p>
    <w:p w:rsidR="008D6581" w:rsidRP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 w:rsidRPr="008D6581">
        <w:rPr>
          <w:rFonts w:ascii="Arial" w:hAnsi="Arial" w:cs="Arial"/>
          <w:bCs/>
          <w:sz w:val="18"/>
          <w:szCs w:val="18"/>
        </w:rPr>
        <w:t xml:space="preserve"> Support recommendation as per BC with the following variations:</w:t>
      </w:r>
    </w:p>
    <w:p w:rsidR="008D6581" w:rsidRP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</w:t>
      </w:r>
    </w:p>
    <w:p w:rsidR="008D6581" w:rsidRPr="008D6581" w:rsidRDefault="008D6581" w:rsidP="008D6581">
      <w:pPr>
        <w:pStyle w:val="BodyTextIndent"/>
        <w:ind w:left="709" w:hanging="709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   </w:t>
      </w:r>
      <w:r w:rsidRPr="008D6581">
        <w:rPr>
          <w:rFonts w:ascii="Arial" w:hAnsi="Arial" w:cs="Arial"/>
          <w:bCs/>
          <w:sz w:val="18"/>
          <w:szCs w:val="18"/>
        </w:rPr>
        <w:t xml:space="preserve"> a)  </w:t>
      </w:r>
      <w:proofErr w:type="gramStart"/>
      <w:r w:rsidRPr="008D6581">
        <w:rPr>
          <w:rFonts w:ascii="Arial" w:hAnsi="Arial" w:cs="Arial"/>
          <w:bCs/>
          <w:sz w:val="18"/>
          <w:szCs w:val="18"/>
        </w:rPr>
        <w:t>submission</w:t>
      </w:r>
      <w:proofErr w:type="gramEnd"/>
      <w:r w:rsidRPr="008D6581">
        <w:rPr>
          <w:rFonts w:ascii="Arial" w:hAnsi="Arial" w:cs="Arial"/>
          <w:bCs/>
          <w:sz w:val="18"/>
          <w:szCs w:val="18"/>
        </w:rPr>
        <w:t xml:space="preserve"> of (with another 1 month on unadvised basis) with negative variance of not more than 10% on turnover / pre-tax profit / TNW. </w:t>
      </w:r>
    </w:p>
    <w:p w:rsidR="008D6581" w:rsidRP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              </w:t>
      </w:r>
    </w:p>
    <w:p w:rsidR="008D6581" w:rsidRDefault="008D6581" w:rsidP="008D6581">
      <w:pPr>
        <w:pStyle w:val="BodyTextIndent"/>
        <w:ind w:left="709" w:hanging="709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    </w:t>
      </w:r>
      <w:r w:rsidRPr="008D6581">
        <w:rPr>
          <w:rFonts w:ascii="Arial" w:hAnsi="Arial" w:cs="Arial"/>
          <w:bCs/>
          <w:sz w:val="18"/>
          <w:szCs w:val="18"/>
        </w:rPr>
        <w:t>b)</w:t>
      </w:r>
      <w:r w:rsidRPr="008D6581">
        <w:rPr>
          <w:rFonts w:ascii="Arial" w:hAnsi="Arial" w:cs="Arial"/>
          <w:bCs/>
          <w:sz w:val="18"/>
          <w:szCs w:val="18"/>
        </w:rPr>
        <w:tab/>
        <w:t xml:space="preserve">BC to monitor closely on the existing U Custom project (financed under Package 4) and be satisfied that </w:t>
      </w:r>
      <w:proofErr w:type="gramStart"/>
      <w:r w:rsidRPr="008D6581">
        <w:rPr>
          <w:rFonts w:ascii="Arial" w:hAnsi="Arial" w:cs="Arial"/>
          <w:bCs/>
          <w:sz w:val="18"/>
          <w:szCs w:val="18"/>
        </w:rPr>
        <w:t>contract  progress</w:t>
      </w:r>
      <w:proofErr w:type="gramEnd"/>
      <w:r w:rsidRPr="008D6581">
        <w:rPr>
          <w:rFonts w:ascii="Arial" w:hAnsi="Arial" w:cs="Arial"/>
          <w:bCs/>
          <w:sz w:val="18"/>
          <w:szCs w:val="18"/>
        </w:rPr>
        <w:t xml:space="preserve"> is on schedule.           </w:t>
      </w:r>
    </w:p>
    <w:p w:rsidR="008D6581" w:rsidRDefault="008D6581" w:rsidP="008D6581">
      <w:pPr>
        <w:pStyle w:val="BodyTextIndent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   </w:t>
      </w:r>
    </w:p>
    <w:p w:rsidR="008D6581" w:rsidRPr="008D6581" w:rsidRDefault="008D6581" w:rsidP="008D6581">
      <w:pPr>
        <w:pStyle w:val="BodyTextIndent"/>
        <w:ind w:left="709" w:hanging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Pr="008D6581">
        <w:rPr>
          <w:rFonts w:ascii="Arial" w:hAnsi="Arial" w:cs="Arial"/>
          <w:bCs/>
          <w:sz w:val="18"/>
          <w:szCs w:val="18"/>
        </w:rPr>
        <w:t xml:space="preserve"> </w:t>
      </w:r>
      <w:r w:rsidR="001D128B" w:rsidRPr="001564ED">
        <w:rPr>
          <w:rFonts w:ascii="Arial" w:hAnsi="Arial" w:cs="Arial"/>
          <w:bCs/>
          <w:sz w:val="18"/>
          <w:szCs w:val="18"/>
          <w:highlight w:val="yellow"/>
        </w:rPr>
        <w:t>c</w:t>
      </w:r>
      <w:r w:rsidRPr="001564ED">
        <w:rPr>
          <w:rFonts w:ascii="Arial" w:hAnsi="Arial" w:cs="Arial"/>
          <w:bCs/>
          <w:sz w:val="18"/>
          <w:szCs w:val="18"/>
          <w:highlight w:val="yellow"/>
        </w:rPr>
        <w:t xml:space="preserve">)  </w:t>
      </w:r>
      <w:proofErr w:type="gramStart"/>
      <w:r w:rsidR="001564ED" w:rsidRPr="001564ED">
        <w:rPr>
          <w:rFonts w:ascii="Arial" w:hAnsi="Arial" w:cs="Arial"/>
          <w:bCs/>
          <w:sz w:val="18"/>
          <w:szCs w:val="18"/>
          <w:highlight w:val="yellow"/>
        </w:rPr>
        <w:t>the</w:t>
      </w:r>
      <w:proofErr w:type="gramEnd"/>
      <w:r w:rsidR="001564ED" w:rsidRPr="001564ED">
        <w:rPr>
          <w:rFonts w:ascii="Arial" w:hAnsi="Arial" w:cs="Arial"/>
          <w:bCs/>
          <w:sz w:val="18"/>
          <w:szCs w:val="18"/>
          <w:highlight w:val="yellow"/>
        </w:rPr>
        <w:t xml:space="preserve"> individual assessment on the account as per the impairment guidelines has been carried out.</w:t>
      </w:r>
      <w:r w:rsidRPr="008D6581">
        <w:rPr>
          <w:rFonts w:ascii="Arial" w:hAnsi="Arial" w:cs="Arial"/>
          <w:bCs/>
          <w:sz w:val="18"/>
          <w:szCs w:val="18"/>
        </w:rPr>
        <w:t xml:space="preserve">  </w:t>
      </w:r>
    </w:p>
    <w:p w:rsidR="008D6581" w:rsidRDefault="008D6581" w:rsidP="008D6581">
      <w:pPr>
        <w:pStyle w:val="BodyTextIndent"/>
        <w:ind w:left="0" w:firstLine="0"/>
        <w:rPr>
          <w:rFonts w:ascii="Arial" w:hAnsi="Arial" w:cs="Arial"/>
          <w:bCs/>
          <w:sz w:val="18"/>
          <w:szCs w:val="18"/>
        </w:rPr>
      </w:pPr>
      <w:r w:rsidRPr="008D6581">
        <w:rPr>
          <w:rFonts w:ascii="Arial" w:hAnsi="Arial" w:cs="Arial"/>
          <w:bCs/>
          <w:sz w:val="18"/>
          <w:szCs w:val="18"/>
        </w:rPr>
        <w:t xml:space="preserve">   </w:t>
      </w:r>
    </w:p>
    <w:p w:rsidR="00D822DF" w:rsidRPr="008D6581" w:rsidRDefault="008D6581" w:rsidP="008D6581">
      <w:pPr>
        <w:pStyle w:val="BodyTextIndent"/>
        <w:ind w:left="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Pr="008D6581">
        <w:rPr>
          <w:rFonts w:ascii="Arial" w:hAnsi="Arial" w:cs="Arial"/>
          <w:bCs/>
          <w:sz w:val="18"/>
          <w:szCs w:val="18"/>
        </w:rPr>
        <w:t xml:space="preserve"> </w:t>
      </w:r>
      <w:r w:rsidR="001D128B">
        <w:rPr>
          <w:rFonts w:ascii="Arial" w:hAnsi="Arial" w:cs="Arial"/>
          <w:bCs/>
          <w:sz w:val="18"/>
          <w:szCs w:val="18"/>
        </w:rPr>
        <w:t>d</w:t>
      </w:r>
      <w:r w:rsidRPr="008D6581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D6581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8D6581">
        <w:rPr>
          <w:rFonts w:ascii="Arial" w:hAnsi="Arial" w:cs="Arial"/>
          <w:bCs/>
          <w:sz w:val="18"/>
          <w:szCs w:val="18"/>
        </w:rPr>
        <w:t>all</w:t>
      </w:r>
      <w:proofErr w:type="gramEnd"/>
      <w:r w:rsidRPr="008D6581">
        <w:rPr>
          <w:rFonts w:ascii="Arial" w:hAnsi="Arial" w:cs="Arial"/>
          <w:bCs/>
          <w:sz w:val="18"/>
          <w:szCs w:val="18"/>
        </w:rPr>
        <w:t xml:space="preserve"> other existing terms and conditions are to remain unchanged.</w:t>
      </w:r>
    </w:p>
    <w:sectPr w:rsidR="00D822DF" w:rsidRPr="008D658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914"/>
    <w:multiLevelType w:val="hybridMultilevel"/>
    <w:tmpl w:val="B6349CCA"/>
    <w:lvl w:ilvl="0" w:tplc="FD9AC5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1B58CB"/>
    <w:multiLevelType w:val="hybridMultilevel"/>
    <w:tmpl w:val="5A0CE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913A0"/>
    <w:multiLevelType w:val="hybridMultilevel"/>
    <w:tmpl w:val="DA86EC32"/>
    <w:lvl w:ilvl="0" w:tplc="AA4A5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116CB2"/>
    <w:multiLevelType w:val="hybridMultilevel"/>
    <w:tmpl w:val="5BEA96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27C09"/>
    <w:multiLevelType w:val="hybridMultilevel"/>
    <w:tmpl w:val="DCEE20FA"/>
    <w:lvl w:ilvl="0" w:tplc="A712D7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6208D"/>
    <w:multiLevelType w:val="hybridMultilevel"/>
    <w:tmpl w:val="18643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7F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10566"/>
    <w:multiLevelType w:val="hybridMultilevel"/>
    <w:tmpl w:val="F4666F20"/>
    <w:lvl w:ilvl="0" w:tplc="464AE5DE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8AB5CA5"/>
    <w:multiLevelType w:val="hybridMultilevel"/>
    <w:tmpl w:val="D0D077D8"/>
    <w:lvl w:ilvl="0" w:tplc="85AC7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87A7E"/>
    <w:multiLevelType w:val="hybridMultilevel"/>
    <w:tmpl w:val="9F9CB60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8141D9"/>
    <w:multiLevelType w:val="hybridMultilevel"/>
    <w:tmpl w:val="D3DE778C"/>
    <w:lvl w:ilvl="0" w:tplc="DAFED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B44D3"/>
    <w:multiLevelType w:val="hybridMultilevel"/>
    <w:tmpl w:val="351A6E7C"/>
    <w:lvl w:ilvl="0" w:tplc="04090005">
      <w:start w:val="1"/>
      <w:numFmt w:val="bullet"/>
      <w:lvlText w:val="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1">
    <w:nsid w:val="37086891"/>
    <w:multiLevelType w:val="hybridMultilevel"/>
    <w:tmpl w:val="B716462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A824E9B"/>
    <w:multiLevelType w:val="hybridMultilevel"/>
    <w:tmpl w:val="860E2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24146"/>
    <w:multiLevelType w:val="hybridMultilevel"/>
    <w:tmpl w:val="094A9C4C"/>
    <w:lvl w:ilvl="0" w:tplc="AB206F8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0E73F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D0D2C13"/>
    <w:multiLevelType w:val="hybridMultilevel"/>
    <w:tmpl w:val="485A3CA4"/>
    <w:lvl w:ilvl="0" w:tplc="FF447B7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F2A526A"/>
    <w:multiLevelType w:val="hybridMultilevel"/>
    <w:tmpl w:val="469E9626"/>
    <w:lvl w:ilvl="0" w:tplc="8DA8CC2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A15B92"/>
    <w:multiLevelType w:val="hybridMultilevel"/>
    <w:tmpl w:val="91ECB7D8"/>
    <w:lvl w:ilvl="0" w:tplc="934C3CAE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B70E43"/>
    <w:multiLevelType w:val="hybridMultilevel"/>
    <w:tmpl w:val="BE287DB4"/>
    <w:lvl w:ilvl="0" w:tplc="1CE6064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595D171E"/>
    <w:multiLevelType w:val="hybridMultilevel"/>
    <w:tmpl w:val="950C56C0"/>
    <w:lvl w:ilvl="0" w:tplc="DE5CFAA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8C3232"/>
    <w:multiLevelType w:val="hybridMultilevel"/>
    <w:tmpl w:val="EA485F5A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FEF1ABF"/>
    <w:multiLevelType w:val="hybridMultilevel"/>
    <w:tmpl w:val="21C83D10"/>
    <w:lvl w:ilvl="0" w:tplc="B8BED846">
      <w:start w:val="9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50E2838">
      <w:start w:val="2"/>
      <w:numFmt w:val="lowerRoman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75215E"/>
    <w:multiLevelType w:val="hybridMultilevel"/>
    <w:tmpl w:val="8FC2B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E5797"/>
    <w:multiLevelType w:val="hybridMultilevel"/>
    <w:tmpl w:val="F4E24456"/>
    <w:lvl w:ilvl="0" w:tplc="85AC7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6B799B"/>
    <w:multiLevelType w:val="hybridMultilevel"/>
    <w:tmpl w:val="045ED4EE"/>
    <w:lvl w:ilvl="0" w:tplc="9B4C44B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0F70757"/>
    <w:multiLevelType w:val="hybridMultilevel"/>
    <w:tmpl w:val="6D1894E0"/>
    <w:lvl w:ilvl="0" w:tplc="AEF0CDE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E44566"/>
    <w:multiLevelType w:val="hybridMultilevel"/>
    <w:tmpl w:val="8F40F448"/>
    <w:lvl w:ilvl="0" w:tplc="AE464D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ACC395E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95215D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60EBE28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EA24E65"/>
    <w:multiLevelType w:val="hybridMultilevel"/>
    <w:tmpl w:val="56A4568E"/>
    <w:lvl w:ilvl="0" w:tplc="934C3CAE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2"/>
  </w:num>
  <w:num w:numId="5">
    <w:abstractNumId w:val="5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0"/>
  </w:num>
  <w:num w:numId="17">
    <w:abstractNumId w:val="17"/>
  </w:num>
  <w:num w:numId="18">
    <w:abstractNumId w:val="7"/>
  </w:num>
  <w:num w:numId="19">
    <w:abstractNumId w:val="18"/>
  </w:num>
  <w:num w:numId="20">
    <w:abstractNumId w:val="20"/>
  </w:num>
  <w:num w:numId="21">
    <w:abstractNumId w:val="9"/>
  </w:num>
  <w:num w:numId="22">
    <w:abstractNumId w:val="15"/>
  </w:num>
  <w:num w:numId="23">
    <w:abstractNumId w:val="26"/>
  </w:num>
  <w:num w:numId="24">
    <w:abstractNumId w:val="23"/>
  </w:num>
  <w:num w:numId="25">
    <w:abstractNumId w:val="16"/>
  </w:num>
  <w:num w:numId="26">
    <w:abstractNumId w:val="19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DF"/>
    <w:rsid w:val="0002794B"/>
    <w:rsid w:val="000E2101"/>
    <w:rsid w:val="000F430F"/>
    <w:rsid w:val="001244D5"/>
    <w:rsid w:val="00126001"/>
    <w:rsid w:val="001564ED"/>
    <w:rsid w:val="00185782"/>
    <w:rsid w:val="001A26C4"/>
    <w:rsid w:val="001D128B"/>
    <w:rsid w:val="001E5C84"/>
    <w:rsid w:val="002019C5"/>
    <w:rsid w:val="0022713E"/>
    <w:rsid w:val="00232A55"/>
    <w:rsid w:val="002505F2"/>
    <w:rsid w:val="002A2FC4"/>
    <w:rsid w:val="002B2EB7"/>
    <w:rsid w:val="002C2DDE"/>
    <w:rsid w:val="002F3DD0"/>
    <w:rsid w:val="00317FE5"/>
    <w:rsid w:val="00331381"/>
    <w:rsid w:val="00341BFD"/>
    <w:rsid w:val="00351DE1"/>
    <w:rsid w:val="003B4C50"/>
    <w:rsid w:val="003B74CD"/>
    <w:rsid w:val="003C33E7"/>
    <w:rsid w:val="003D2CFA"/>
    <w:rsid w:val="004469CD"/>
    <w:rsid w:val="00454BE8"/>
    <w:rsid w:val="004669B3"/>
    <w:rsid w:val="00474F83"/>
    <w:rsid w:val="00487B54"/>
    <w:rsid w:val="00490A20"/>
    <w:rsid w:val="00496698"/>
    <w:rsid w:val="004B44C1"/>
    <w:rsid w:val="004E40BC"/>
    <w:rsid w:val="004F1053"/>
    <w:rsid w:val="004F2460"/>
    <w:rsid w:val="00511B01"/>
    <w:rsid w:val="00523EB7"/>
    <w:rsid w:val="005303EC"/>
    <w:rsid w:val="00542A88"/>
    <w:rsid w:val="00564C65"/>
    <w:rsid w:val="00577BEE"/>
    <w:rsid w:val="005948E2"/>
    <w:rsid w:val="005A2F75"/>
    <w:rsid w:val="005F2ACE"/>
    <w:rsid w:val="00630B5F"/>
    <w:rsid w:val="006335EC"/>
    <w:rsid w:val="00650C76"/>
    <w:rsid w:val="0069140F"/>
    <w:rsid w:val="006F05DD"/>
    <w:rsid w:val="00727DF4"/>
    <w:rsid w:val="00734905"/>
    <w:rsid w:val="00736502"/>
    <w:rsid w:val="007F7C20"/>
    <w:rsid w:val="0080503D"/>
    <w:rsid w:val="0081154F"/>
    <w:rsid w:val="008132BF"/>
    <w:rsid w:val="00820AA1"/>
    <w:rsid w:val="00830069"/>
    <w:rsid w:val="00867788"/>
    <w:rsid w:val="00872068"/>
    <w:rsid w:val="00890EA1"/>
    <w:rsid w:val="008B1658"/>
    <w:rsid w:val="008B245D"/>
    <w:rsid w:val="008D0CED"/>
    <w:rsid w:val="008D1AA0"/>
    <w:rsid w:val="008D6581"/>
    <w:rsid w:val="008E7212"/>
    <w:rsid w:val="009104E8"/>
    <w:rsid w:val="00915099"/>
    <w:rsid w:val="009310CF"/>
    <w:rsid w:val="00985D7E"/>
    <w:rsid w:val="00993DC8"/>
    <w:rsid w:val="009C2393"/>
    <w:rsid w:val="009F6A5C"/>
    <w:rsid w:val="00A1702F"/>
    <w:rsid w:val="00A1783A"/>
    <w:rsid w:val="00A30016"/>
    <w:rsid w:val="00A70477"/>
    <w:rsid w:val="00A962A7"/>
    <w:rsid w:val="00AC2681"/>
    <w:rsid w:val="00AC75D0"/>
    <w:rsid w:val="00AE4FBE"/>
    <w:rsid w:val="00B04802"/>
    <w:rsid w:val="00B701AD"/>
    <w:rsid w:val="00B94485"/>
    <w:rsid w:val="00BC5A37"/>
    <w:rsid w:val="00BF1EB3"/>
    <w:rsid w:val="00C01C59"/>
    <w:rsid w:val="00C1734F"/>
    <w:rsid w:val="00C348C0"/>
    <w:rsid w:val="00C42D02"/>
    <w:rsid w:val="00C53C61"/>
    <w:rsid w:val="00C542A2"/>
    <w:rsid w:val="00C63BB3"/>
    <w:rsid w:val="00C63EC1"/>
    <w:rsid w:val="00C837AE"/>
    <w:rsid w:val="00C945A9"/>
    <w:rsid w:val="00CA3827"/>
    <w:rsid w:val="00D21258"/>
    <w:rsid w:val="00D2612B"/>
    <w:rsid w:val="00D822DF"/>
    <w:rsid w:val="00D97996"/>
    <w:rsid w:val="00DA396D"/>
    <w:rsid w:val="00DC1934"/>
    <w:rsid w:val="00DC1C1A"/>
    <w:rsid w:val="00DC6570"/>
    <w:rsid w:val="00DD3495"/>
    <w:rsid w:val="00DD6A23"/>
    <w:rsid w:val="00DE6DCF"/>
    <w:rsid w:val="00E33376"/>
    <w:rsid w:val="00E4452A"/>
    <w:rsid w:val="00E56A48"/>
    <w:rsid w:val="00EC0B3C"/>
    <w:rsid w:val="00EC26E2"/>
    <w:rsid w:val="00F435DB"/>
    <w:rsid w:val="00F57CC7"/>
    <w:rsid w:val="00F87977"/>
    <w:rsid w:val="00FA67DE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0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firstLine="180"/>
      <w:jc w:val="both"/>
      <w:outlineLvl w:val="0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b/>
      <w:bCs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360" w:hanging="360"/>
      <w:jc w:val="both"/>
    </w:pPr>
    <w:rPr>
      <w:lang w:val="en-US"/>
    </w:rPr>
  </w:style>
  <w:style w:type="character" w:customStyle="1" w:styleId="redtext1">
    <w:name w:val="redtext1"/>
    <w:rPr>
      <w:rFonts w:ascii="Verdana" w:hAnsi="Verdana" w:hint="default"/>
      <w:color w:val="DB2519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54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C0B3C"/>
    <w:pPr>
      <w:ind w:left="720"/>
    </w:pPr>
  </w:style>
  <w:style w:type="character" w:customStyle="1" w:styleId="BodyTextIndentChar">
    <w:name w:val="Body Text Indent Char"/>
    <w:link w:val="BodyTextIndent"/>
    <w:rsid w:val="004E40B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E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0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firstLine="180"/>
      <w:jc w:val="both"/>
      <w:outlineLvl w:val="0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b/>
      <w:bCs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360" w:hanging="360"/>
      <w:jc w:val="both"/>
    </w:pPr>
    <w:rPr>
      <w:lang w:val="en-US"/>
    </w:rPr>
  </w:style>
  <w:style w:type="character" w:customStyle="1" w:styleId="redtext1">
    <w:name w:val="redtext1"/>
    <w:rPr>
      <w:rFonts w:ascii="Verdana" w:hAnsi="Verdana" w:hint="default"/>
      <w:color w:val="DB2519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54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C0B3C"/>
    <w:pPr>
      <w:ind w:left="720"/>
    </w:pPr>
  </w:style>
  <w:style w:type="character" w:customStyle="1" w:styleId="BodyTextIndentChar">
    <w:name w:val="Body Text Indent Char"/>
    <w:link w:val="BodyTextIndent"/>
    <w:rsid w:val="004E40B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E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622C-DCE6-4E69-B795-1CBABE5B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Factual errors:</vt:lpstr>
    </vt:vector>
  </TitlesOfParts>
  <Company>Maybank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Factual errors:</dc:title>
  <dc:creator>MAYBANK</dc:creator>
  <cp:lastModifiedBy>siahwei</cp:lastModifiedBy>
  <cp:revision>24</cp:revision>
  <cp:lastPrinted>2008-08-29T03:51:00Z</cp:lastPrinted>
  <dcterms:created xsi:type="dcterms:W3CDTF">2016-01-12T14:03:00Z</dcterms:created>
  <dcterms:modified xsi:type="dcterms:W3CDTF">2016-01-12T14:09:00Z</dcterms:modified>
</cp:coreProperties>
</file>